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F1" w:rsidRDefault="001E4A62" w:rsidP="001B4E47">
      <w:pPr>
        <w:rPr>
          <w:b/>
          <w:bCs/>
          <w:sz w:val="28"/>
          <w:szCs w:val="28"/>
        </w:rPr>
      </w:pPr>
      <w:r>
        <w:rPr>
          <w:b/>
          <w:bCs/>
          <w:sz w:val="28"/>
          <w:szCs w:val="28"/>
        </w:rPr>
        <w:t>Analyse ARO-advisering in 201</w:t>
      </w:r>
      <w:r w:rsidR="00E249DF">
        <w:rPr>
          <w:b/>
          <w:bCs/>
          <w:sz w:val="28"/>
          <w:szCs w:val="28"/>
        </w:rPr>
        <w:t>9</w:t>
      </w:r>
      <w:r w:rsidR="005063F1">
        <w:rPr>
          <w:b/>
          <w:bCs/>
          <w:sz w:val="28"/>
          <w:szCs w:val="28"/>
        </w:rPr>
        <w:t xml:space="preserve"> </w:t>
      </w:r>
    </w:p>
    <w:p w:rsidR="00F177E3" w:rsidRDefault="00F177E3" w:rsidP="00447D08">
      <w:pPr>
        <w:pStyle w:val="Geenafstand"/>
        <w:jc w:val="both"/>
      </w:pPr>
    </w:p>
    <w:p w:rsidR="00447D08" w:rsidRPr="00046E7E" w:rsidRDefault="00447D08" w:rsidP="00447D08">
      <w:pPr>
        <w:pStyle w:val="Geenafstand"/>
        <w:jc w:val="both"/>
        <w:rPr>
          <w:i/>
        </w:rPr>
      </w:pPr>
      <w:r w:rsidRPr="00046E7E">
        <w:rPr>
          <w:i/>
        </w:rPr>
        <w:t xml:space="preserve">In </w:t>
      </w:r>
      <w:r w:rsidR="00410955" w:rsidRPr="00046E7E">
        <w:rPr>
          <w:i/>
        </w:rPr>
        <w:t xml:space="preserve">dit onderdeel van het jaarverslag </w:t>
      </w:r>
      <w:r w:rsidR="00A61D23" w:rsidRPr="00046E7E">
        <w:rPr>
          <w:i/>
        </w:rPr>
        <w:t xml:space="preserve">analyseren we </w:t>
      </w:r>
      <w:r w:rsidRPr="00046E7E">
        <w:rPr>
          <w:i/>
        </w:rPr>
        <w:t xml:space="preserve">de plannen die in </w:t>
      </w:r>
      <w:r w:rsidR="00470BEC" w:rsidRPr="00046E7E">
        <w:rPr>
          <w:i/>
        </w:rPr>
        <w:t>201</w:t>
      </w:r>
      <w:r w:rsidR="0056606C" w:rsidRPr="00046E7E">
        <w:rPr>
          <w:i/>
        </w:rPr>
        <w:t>9</w:t>
      </w:r>
      <w:r w:rsidR="00470BEC" w:rsidRPr="00046E7E">
        <w:rPr>
          <w:i/>
        </w:rPr>
        <w:t xml:space="preserve"> aan de</w:t>
      </w:r>
      <w:r w:rsidR="00A61D23" w:rsidRPr="00046E7E">
        <w:rPr>
          <w:i/>
        </w:rPr>
        <w:t xml:space="preserve"> Adviescommissie Ruimtelijke Ontwikkeling</w:t>
      </w:r>
      <w:r w:rsidR="00470BEC" w:rsidRPr="00046E7E">
        <w:rPr>
          <w:i/>
        </w:rPr>
        <w:t xml:space="preserve"> </w:t>
      </w:r>
      <w:r w:rsidR="00A61D23" w:rsidRPr="00046E7E">
        <w:rPr>
          <w:i/>
        </w:rPr>
        <w:t>(</w:t>
      </w:r>
      <w:r w:rsidR="00470BEC" w:rsidRPr="00046E7E">
        <w:rPr>
          <w:i/>
        </w:rPr>
        <w:t>ARO</w:t>
      </w:r>
      <w:r w:rsidR="00A61D23" w:rsidRPr="00046E7E">
        <w:rPr>
          <w:i/>
        </w:rPr>
        <w:t>)</w:t>
      </w:r>
      <w:r w:rsidR="00470BEC" w:rsidRPr="00046E7E">
        <w:rPr>
          <w:i/>
        </w:rPr>
        <w:t xml:space="preserve"> zijn voorgelegd</w:t>
      </w:r>
      <w:r w:rsidRPr="00046E7E">
        <w:rPr>
          <w:i/>
        </w:rPr>
        <w:t xml:space="preserve">. We kijken daarbij onder meer naar het aantal adviezen per vergadering, de aard van </w:t>
      </w:r>
      <w:r w:rsidR="00410955" w:rsidRPr="00046E7E">
        <w:rPr>
          <w:i/>
        </w:rPr>
        <w:t xml:space="preserve">de plannen en de adviezen </w:t>
      </w:r>
      <w:r w:rsidRPr="00046E7E">
        <w:rPr>
          <w:i/>
        </w:rPr>
        <w:t>en het aantal plannen per gemeente</w:t>
      </w:r>
      <w:r w:rsidR="0056322D" w:rsidRPr="00046E7E">
        <w:rPr>
          <w:i/>
        </w:rPr>
        <w:t xml:space="preserve"> en</w:t>
      </w:r>
      <w:r w:rsidR="00A61D23" w:rsidRPr="00046E7E">
        <w:rPr>
          <w:i/>
        </w:rPr>
        <w:t xml:space="preserve"> per</w:t>
      </w:r>
      <w:r w:rsidR="0056322D" w:rsidRPr="00046E7E">
        <w:rPr>
          <w:i/>
        </w:rPr>
        <w:t xml:space="preserve"> regio</w:t>
      </w:r>
      <w:r w:rsidRPr="00046E7E">
        <w:rPr>
          <w:i/>
        </w:rPr>
        <w:t>.</w:t>
      </w:r>
      <w:r w:rsidR="00470BEC" w:rsidRPr="00046E7E">
        <w:rPr>
          <w:i/>
        </w:rPr>
        <w:t xml:space="preserve"> </w:t>
      </w:r>
    </w:p>
    <w:p w:rsidR="00447D08" w:rsidRDefault="00447D08" w:rsidP="00447D08">
      <w:pPr>
        <w:pStyle w:val="Geenafstand"/>
        <w:jc w:val="both"/>
      </w:pPr>
    </w:p>
    <w:p w:rsidR="00FF0EA4" w:rsidRPr="00FF0EA4" w:rsidRDefault="00FF0EA4" w:rsidP="001B4E47">
      <w:pPr>
        <w:pStyle w:val="Geenafstand"/>
        <w:jc w:val="both"/>
        <w:rPr>
          <w:b/>
        </w:rPr>
      </w:pPr>
      <w:r>
        <w:rPr>
          <w:b/>
        </w:rPr>
        <w:t>Vergaderingen</w:t>
      </w:r>
    </w:p>
    <w:p w:rsidR="001B4E47" w:rsidRDefault="00E735D0" w:rsidP="001B4E47">
      <w:pPr>
        <w:pStyle w:val="Geenafstand"/>
        <w:jc w:val="both"/>
      </w:pPr>
      <w:r w:rsidRPr="00E735D0">
        <w:t>De adviezen van de ARO gaan over de ruimtelijke kwaliteit van ontwikkelingen in het landelijk gebied</w:t>
      </w:r>
      <w:r>
        <w:t>.</w:t>
      </w:r>
      <w:r w:rsidRPr="00E735D0">
        <w:t xml:space="preserve"> </w:t>
      </w:r>
      <w:r w:rsidR="00180AE8">
        <w:t xml:space="preserve">Het advies </w:t>
      </w:r>
      <w:r w:rsidR="001B4E47">
        <w:t xml:space="preserve">van de </w:t>
      </w:r>
      <w:r w:rsidR="00A61D23">
        <w:t>ARO</w:t>
      </w:r>
      <w:r w:rsidR="001B4E47">
        <w:t xml:space="preserve"> </w:t>
      </w:r>
      <w:r w:rsidR="00180AE8">
        <w:t xml:space="preserve">wordt geformuleerd </w:t>
      </w:r>
      <w:r w:rsidR="001B4E47">
        <w:t>tijdens plenaire vergaderingen op het provinciehuis te Haarlem. De adviezen komen tot stand tijdens een besprekin</w:t>
      </w:r>
      <w:r w:rsidR="00DE77F8">
        <w:t>g met de betrokken gemeente en</w:t>
      </w:r>
      <w:r w:rsidR="00180AE8">
        <w:t xml:space="preserve">, </w:t>
      </w:r>
      <w:r w:rsidR="001B4E47">
        <w:t>idealiter</w:t>
      </w:r>
      <w:r w:rsidR="00180AE8">
        <w:t>,</w:t>
      </w:r>
      <w:r w:rsidR="001B4E47">
        <w:t xml:space="preserve"> </w:t>
      </w:r>
      <w:r w:rsidR="00180AE8">
        <w:t xml:space="preserve">met </w:t>
      </w:r>
      <w:r w:rsidR="001B4E47">
        <w:t xml:space="preserve">de initiatiefnemers zelf. Op basis van de </w:t>
      </w:r>
      <w:r>
        <w:t xml:space="preserve">informatie die tijdens de </w:t>
      </w:r>
      <w:r w:rsidR="001B4E47">
        <w:t xml:space="preserve">discussie </w:t>
      </w:r>
      <w:r w:rsidR="00180AE8">
        <w:t xml:space="preserve">aan bod komt, </w:t>
      </w:r>
      <w:r w:rsidR="001B4E47">
        <w:t xml:space="preserve">formuleert de voorzitter een eindoordeel. </w:t>
      </w:r>
      <w:r w:rsidR="00A61D23">
        <w:t>De secretaris van de ARO tekent d</w:t>
      </w:r>
      <w:r w:rsidR="001B4E47">
        <w:t xml:space="preserve">e conclusie en het verslag van de bespreking </w:t>
      </w:r>
      <w:r w:rsidR="00A61D23">
        <w:t>op</w:t>
      </w:r>
      <w:r w:rsidR="001B4E47">
        <w:t xml:space="preserve">. Zowel de voorzitter als de secretaris zijn afkomstig uit de ambtelijke organisatie </w:t>
      </w:r>
      <w:r w:rsidR="0056322D">
        <w:t xml:space="preserve">van de provincie Noord-Holland </w:t>
      </w:r>
      <w:r w:rsidR="001B4E47">
        <w:t>en hebben geen rol in de inhoudelijke discussie.</w:t>
      </w:r>
    </w:p>
    <w:p w:rsidR="001B4E47" w:rsidRDefault="001B4E47" w:rsidP="001B4E47">
      <w:pPr>
        <w:pStyle w:val="Geenafstand"/>
        <w:jc w:val="both"/>
      </w:pPr>
      <w:r>
        <w:br/>
        <w:t xml:space="preserve">Per jaar </w:t>
      </w:r>
      <w:r w:rsidR="00A61D23">
        <w:t xml:space="preserve">zijn </w:t>
      </w:r>
      <w:r>
        <w:t xml:space="preserve">er </w:t>
      </w:r>
      <w:r w:rsidR="006635F8">
        <w:t>8 tot 9</w:t>
      </w:r>
      <w:r>
        <w:t xml:space="preserve"> vergaderingen. Het aantal plannen dat wordt besproken varieert sterk. Of een plan al dan niet aan de commissie wordt voorgelegd hangt ten eerste </w:t>
      </w:r>
      <w:r w:rsidR="00F177E3">
        <w:t xml:space="preserve">af </w:t>
      </w:r>
      <w:r>
        <w:t xml:space="preserve">van de ontwikkelingen bij de gemeenten en ten tweede van de ambtelijke beoordeling van ruimtelijke kwaliteit bij de provincie. Voorafgaand aan ARO-agendering </w:t>
      </w:r>
      <w:r w:rsidR="00D43F88">
        <w:t xml:space="preserve">maakt </w:t>
      </w:r>
      <w:r>
        <w:t xml:space="preserve">de provinciale </w:t>
      </w:r>
      <w:r w:rsidR="008C1219">
        <w:t xml:space="preserve">ambtelijke </w:t>
      </w:r>
      <w:r>
        <w:t xml:space="preserve">organisatie een inschatting van de </w:t>
      </w:r>
      <w:r w:rsidR="00F177E3">
        <w:t xml:space="preserve">ruimtelijke </w:t>
      </w:r>
      <w:r>
        <w:t>impact van het project</w:t>
      </w:r>
      <w:r w:rsidR="00F177E3">
        <w:t>.</w:t>
      </w:r>
      <w:r>
        <w:t xml:space="preserve"> </w:t>
      </w:r>
      <w:r w:rsidR="001E4A62">
        <w:t>In 201</w:t>
      </w:r>
      <w:r w:rsidR="006635F8">
        <w:t>9</w:t>
      </w:r>
      <w:r w:rsidR="00180AE8">
        <w:t xml:space="preserve"> hebben </w:t>
      </w:r>
      <w:r w:rsidR="00046E7E">
        <w:t xml:space="preserve">maar </w:t>
      </w:r>
      <w:r w:rsidR="002013C3">
        <w:t>3</w:t>
      </w:r>
      <w:r w:rsidR="00180AE8">
        <w:t xml:space="preserve"> vergaderingen plaatsgevonden, omdat er voor de overig geplande vergaderingen onvoldoende plannen waren om te bespreken. </w:t>
      </w:r>
      <w:r w:rsidR="00410955">
        <w:t>Als er één plan was schoof dit door naar de volgende vergadering.</w:t>
      </w:r>
    </w:p>
    <w:p w:rsidR="00447D08" w:rsidRDefault="00447D08" w:rsidP="00447D08">
      <w:pPr>
        <w:pStyle w:val="Geenafstand"/>
        <w:jc w:val="both"/>
      </w:pPr>
    </w:p>
    <w:p w:rsidR="00FF0EA4" w:rsidRPr="00FF0EA4" w:rsidRDefault="00FF0EA4" w:rsidP="00447D08">
      <w:pPr>
        <w:pStyle w:val="Geenafstand"/>
        <w:jc w:val="both"/>
        <w:rPr>
          <w:b/>
        </w:rPr>
      </w:pPr>
      <w:r w:rsidRPr="00FF0EA4">
        <w:rPr>
          <w:b/>
        </w:rPr>
        <w:t>Aantal adviezen</w:t>
      </w:r>
    </w:p>
    <w:p w:rsidR="00447D08" w:rsidRDefault="00447D08" w:rsidP="00447D08">
      <w:pPr>
        <w:pStyle w:val="Geenafstand"/>
        <w:jc w:val="both"/>
      </w:pPr>
      <w:r>
        <w:t>In totaal werden in 201</w:t>
      </w:r>
      <w:r w:rsidR="006635F8">
        <w:t>9</w:t>
      </w:r>
      <w:r>
        <w:t xml:space="preserve"> </w:t>
      </w:r>
      <w:r w:rsidR="006635F8">
        <w:t xml:space="preserve">slechts </w:t>
      </w:r>
      <w:r w:rsidR="00180AE8">
        <w:t xml:space="preserve">4 </w:t>
      </w:r>
      <w:r>
        <w:t xml:space="preserve">adviezen over </w:t>
      </w:r>
      <w:r w:rsidR="004D6310">
        <w:t xml:space="preserve">concrete </w:t>
      </w:r>
      <w:r>
        <w:t xml:space="preserve">plannen uitgebracht. Dit is </w:t>
      </w:r>
      <w:r w:rsidR="006635F8">
        <w:t xml:space="preserve">aanzienlijk minder dan </w:t>
      </w:r>
      <w:r w:rsidR="001E4A62">
        <w:t>in 201</w:t>
      </w:r>
      <w:r w:rsidR="006635F8">
        <w:t>8</w:t>
      </w:r>
      <w:r w:rsidR="001E4A62">
        <w:t xml:space="preserve"> (1</w:t>
      </w:r>
      <w:r w:rsidR="006635F8">
        <w:t>6</w:t>
      </w:r>
      <w:r w:rsidR="001E4A62">
        <w:t xml:space="preserve"> plannen)</w:t>
      </w:r>
      <w:r w:rsidR="006635F8">
        <w:t xml:space="preserve"> en 2017 (13 plannen).</w:t>
      </w:r>
      <w:r>
        <w:t xml:space="preserve"> </w:t>
      </w:r>
      <w:r w:rsidR="00744160">
        <w:t>We zien dat o</w:t>
      </w:r>
      <w:r w:rsidR="00613629">
        <w:t xml:space="preserve">ok </w:t>
      </w:r>
      <w:r w:rsidR="00180AE8">
        <w:t xml:space="preserve">op </w:t>
      </w:r>
      <w:r w:rsidR="00613629">
        <w:t xml:space="preserve">ambtelijk </w:t>
      </w:r>
      <w:r w:rsidR="00180AE8">
        <w:t xml:space="preserve">niveau </w:t>
      </w:r>
      <w:r w:rsidR="00613629">
        <w:t xml:space="preserve">er aanzienlijk minder plannen </w:t>
      </w:r>
      <w:r w:rsidR="00744160">
        <w:t xml:space="preserve">zijn </w:t>
      </w:r>
      <w:r w:rsidR="00613629">
        <w:t>besproken</w:t>
      </w:r>
      <w:r w:rsidR="00180AE8">
        <w:t xml:space="preserve"> en</w:t>
      </w:r>
      <w:r w:rsidR="00744160">
        <w:t xml:space="preserve"> uiteindelijk</w:t>
      </w:r>
      <w:r w:rsidR="00180AE8">
        <w:t xml:space="preserve"> ingediend bij de ARO. </w:t>
      </w:r>
      <w:r w:rsidR="004E670C">
        <w:t>Dat is opmerkelijk</w:t>
      </w:r>
      <w:r w:rsidR="00613629">
        <w:t xml:space="preserve"> </w:t>
      </w:r>
      <w:r w:rsidR="00180AE8">
        <w:t>gezien</w:t>
      </w:r>
      <w:r w:rsidR="00613629">
        <w:t xml:space="preserve"> het aantal grote</w:t>
      </w:r>
      <w:r w:rsidR="004E670C">
        <w:t xml:space="preserve"> ruimtelijke</w:t>
      </w:r>
      <w:r w:rsidR="00613629">
        <w:t xml:space="preserve"> ontwikkelingen</w:t>
      </w:r>
      <w:r w:rsidR="004E670C">
        <w:t>, zoals de energietransitie, die</w:t>
      </w:r>
      <w:r w:rsidR="00613629">
        <w:t xml:space="preserve"> impact </w:t>
      </w:r>
      <w:r w:rsidR="004E670C">
        <w:t xml:space="preserve">hebben </w:t>
      </w:r>
      <w:r w:rsidR="00613629">
        <w:t>op het landschap. De achterliggende oorzaak is</w:t>
      </w:r>
      <w:r w:rsidR="002013C3">
        <w:t xml:space="preserve"> ook bij de RO-collega’s</w:t>
      </w:r>
      <w:r w:rsidR="00613629">
        <w:t xml:space="preserve"> niet helder. Wellicht waren er minder grote ontwikkelingen, werd er vooral binnenstedelijk ontwikkeld of speelde het verkiezingsjaar een rol. De verwachting is dat het aantal plannen in 2020 weer zal toenemen.</w:t>
      </w:r>
    </w:p>
    <w:p w:rsidR="001B4E47" w:rsidRDefault="001B4E47" w:rsidP="001B4E47">
      <w:pPr>
        <w:pStyle w:val="Geenafstand"/>
        <w:jc w:val="both"/>
      </w:pPr>
    </w:p>
    <w:p w:rsidR="00447D08" w:rsidRDefault="00880ABD" w:rsidP="001B4E47">
      <w:pPr>
        <w:pStyle w:val="Geenafstand"/>
        <w:jc w:val="both"/>
      </w:pPr>
      <w:r>
        <w:rPr>
          <w:noProof/>
          <w:lang w:eastAsia="nl-NL"/>
        </w:rPr>
        <w:drawing>
          <wp:inline distT="0" distB="0" distL="0" distR="0" wp14:anchorId="4664FC84" wp14:editId="35D17C31">
            <wp:extent cx="4221480" cy="2133600"/>
            <wp:effectExtent l="0" t="0" r="762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322D" w:rsidRDefault="0056322D" w:rsidP="001B4E47">
      <w:pPr>
        <w:pStyle w:val="Geenafstand"/>
        <w:jc w:val="both"/>
      </w:pPr>
    </w:p>
    <w:p w:rsidR="004D6310" w:rsidRDefault="001A4058" w:rsidP="001B4E47">
      <w:pPr>
        <w:pStyle w:val="Geenafstand"/>
        <w:jc w:val="both"/>
      </w:pPr>
      <w:r>
        <w:t>V</w:t>
      </w:r>
      <w:r w:rsidR="006C4DB9">
        <w:t xml:space="preserve">an de </w:t>
      </w:r>
      <w:r w:rsidR="006635F8">
        <w:t>34</w:t>
      </w:r>
      <w:r w:rsidR="005063F1">
        <w:t xml:space="preserve"> </w:t>
      </w:r>
      <w:r w:rsidR="001B4E47">
        <w:t xml:space="preserve">adviezen die ambtelijk </w:t>
      </w:r>
      <w:r w:rsidR="005063F1">
        <w:t>zijn gegeven</w:t>
      </w:r>
      <w:r w:rsidR="001B4E47">
        <w:t xml:space="preserve"> </w:t>
      </w:r>
      <w:r w:rsidR="001E4A62">
        <w:t>(in 201</w:t>
      </w:r>
      <w:r w:rsidR="006635F8">
        <w:t>8</w:t>
      </w:r>
      <w:r w:rsidR="001E4A62">
        <w:t xml:space="preserve"> waren dat er nog </w:t>
      </w:r>
      <w:r w:rsidR="006635F8">
        <w:t>44</w:t>
      </w:r>
      <w:r w:rsidR="001E4A62">
        <w:t>)</w:t>
      </w:r>
      <w:r w:rsidR="00180AE8">
        <w:t>,</w:t>
      </w:r>
      <w:r w:rsidR="001E4A62">
        <w:t xml:space="preserve"> </w:t>
      </w:r>
      <w:r w:rsidR="006635F8">
        <w:t xml:space="preserve">zijn </w:t>
      </w:r>
      <w:r w:rsidR="00180AE8">
        <w:t xml:space="preserve">9 </w:t>
      </w:r>
      <w:r w:rsidR="006635F8">
        <w:t xml:space="preserve">plannen </w:t>
      </w:r>
      <w:r w:rsidR="001B4E47">
        <w:t xml:space="preserve">beoordeeld als relevant voor de ARO. </w:t>
      </w:r>
      <w:r w:rsidR="005063F1">
        <w:t xml:space="preserve">In </w:t>
      </w:r>
      <w:r w:rsidR="00180AE8">
        <w:t xml:space="preserve">4 </w:t>
      </w:r>
      <w:r w:rsidR="005063F1">
        <w:t xml:space="preserve">gevallen zijn ze ook daadwerkelijk aan de ARO voorgelegd. De andere plannen zijn </w:t>
      </w:r>
      <w:r w:rsidR="005063F1" w:rsidRPr="00613629">
        <w:t xml:space="preserve">om meerdere redenen </w:t>
      </w:r>
      <w:r w:rsidR="00613629" w:rsidRPr="00613629">
        <w:t xml:space="preserve">(bijvoorbeeld nut en noodzaak nog onvoldoende aangetoond) </w:t>
      </w:r>
      <w:r w:rsidR="005063F1" w:rsidRPr="00613629">
        <w:t>uiteindelijk</w:t>
      </w:r>
      <w:r w:rsidR="005063F1">
        <w:t xml:space="preserve"> niet naar de commissie gegaan of zijn voor wat betreft de behandeling doorgeschoven naar 20</w:t>
      </w:r>
      <w:r w:rsidR="009E04E7">
        <w:t>20</w:t>
      </w:r>
      <w:r w:rsidR="005063F1">
        <w:t>.</w:t>
      </w:r>
      <w:r w:rsidR="004D6310">
        <w:t xml:space="preserve"> </w:t>
      </w:r>
    </w:p>
    <w:p w:rsidR="004D6310" w:rsidRDefault="004D6310" w:rsidP="001B4E47">
      <w:pPr>
        <w:pStyle w:val="Geenafstand"/>
        <w:jc w:val="both"/>
      </w:pPr>
    </w:p>
    <w:p w:rsidR="001B4E47" w:rsidRDefault="004D6310" w:rsidP="001B4E47">
      <w:pPr>
        <w:pStyle w:val="Geenafstand"/>
        <w:jc w:val="both"/>
      </w:pPr>
      <w:r>
        <w:t>Naast advies over concrete plannen zijn door de ARO ook aanbevelingen meegegeven over de Omgevingskwaliteit IJsselmeergebied (</w:t>
      </w:r>
      <w:r w:rsidR="00C57E69">
        <w:t xml:space="preserve">opgesteld door </w:t>
      </w:r>
      <w:r>
        <w:t>provincie N</w:t>
      </w:r>
      <w:r w:rsidR="00C57E69">
        <w:t>oord-</w:t>
      </w:r>
      <w:r>
        <w:t>H</w:t>
      </w:r>
      <w:r w:rsidR="00C57E69">
        <w:t>olland</w:t>
      </w:r>
      <w:r>
        <w:t>).</w:t>
      </w:r>
    </w:p>
    <w:p w:rsidR="001B4E47" w:rsidRDefault="001B4E47" w:rsidP="001B4E47">
      <w:pPr>
        <w:pStyle w:val="Geenafstand"/>
        <w:jc w:val="both"/>
      </w:pPr>
    </w:p>
    <w:p w:rsidR="005252C5" w:rsidRDefault="005252C5" w:rsidP="001B4E47">
      <w:pPr>
        <w:pStyle w:val="Geenafstand"/>
        <w:jc w:val="both"/>
        <w:rPr>
          <w:noProof/>
          <w:lang w:eastAsia="nl-NL"/>
        </w:rPr>
      </w:pPr>
    </w:p>
    <w:p w:rsidR="00EE27B4" w:rsidRDefault="00880ABD" w:rsidP="001B4E47">
      <w:pPr>
        <w:pStyle w:val="Geenafstand"/>
        <w:jc w:val="both"/>
      </w:pPr>
      <w:r>
        <w:rPr>
          <w:noProof/>
          <w:lang w:eastAsia="nl-NL"/>
        </w:rPr>
        <w:drawing>
          <wp:inline distT="0" distB="0" distL="0" distR="0" wp14:anchorId="17006611" wp14:editId="212ACB65">
            <wp:extent cx="4221480" cy="2261235"/>
            <wp:effectExtent l="0" t="0" r="7620" b="571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27B4" w:rsidRDefault="00EE27B4" w:rsidP="001B4E47">
      <w:pPr>
        <w:pStyle w:val="Geenafstand"/>
        <w:jc w:val="both"/>
      </w:pPr>
    </w:p>
    <w:p w:rsidR="00FF0EA4" w:rsidRPr="00FF0EA4" w:rsidRDefault="00FF0EA4" w:rsidP="001B4E47">
      <w:pPr>
        <w:pStyle w:val="Geenafstand"/>
        <w:jc w:val="both"/>
        <w:rPr>
          <w:b/>
        </w:rPr>
      </w:pPr>
      <w:r w:rsidRPr="00FF0EA4">
        <w:rPr>
          <w:b/>
        </w:rPr>
        <w:t>Aard van de adviezen</w:t>
      </w:r>
    </w:p>
    <w:p w:rsidR="00A830F3" w:rsidRDefault="00410955" w:rsidP="001B4E47">
      <w:pPr>
        <w:pStyle w:val="Geenafstand"/>
        <w:jc w:val="both"/>
      </w:pPr>
      <w:r>
        <w:t xml:space="preserve">De adviezen van de ARO kennen </w:t>
      </w:r>
      <w:r w:rsidR="00C40CC3">
        <w:t xml:space="preserve">wat betreft de aard van het advies </w:t>
      </w:r>
      <w:r>
        <w:t xml:space="preserve">verschillende niveaus. </w:t>
      </w:r>
      <w:r w:rsidR="00447D08">
        <w:t xml:space="preserve">De </w:t>
      </w:r>
      <w:r w:rsidR="006C68E8">
        <w:t xml:space="preserve">ARO </w:t>
      </w:r>
      <w:r w:rsidR="008B42D5">
        <w:t xml:space="preserve">geeft in </w:t>
      </w:r>
      <w:r w:rsidR="00C57E69">
        <w:t>sommige gevallen alleen</w:t>
      </w:r>
      <w:r w:rsidR="006C68E8">
        <w:t xml:space="preserve"> </w:t>
      </w:r>
      <w:r w:rsidR="008B42D5">
        <w:t xml:space="preserve">aanbevelingen mee over een plan, zonder zich kritisch of positief uit te spreken. Het betreft vaak plannen in een vroeg stadium van planvorming. </w:t>
      </w:r>
      <w:r w:rsidR="00C57E69">
        <w:t>D</w:t>
      </w:r>
      <w:r w:rsidR="008B42D5">
        <w:t>e ARO</w:t>
      </w:r>
      <w:r w:rsidR="00C57E69">
        <w:t xml:space="preserve"> kan ook</w:t>
      </w:r>
      <w:r w:rsidR="008B42D5">
        <w:t xml:space="preserve"> instemmen met een plan en </w:t>
      </w:r>
      <w:r w:rsidR="00C57E69">
        <w:t>geeft dan</w:t>
      </w:r>
      <w:r w:rsidR="008B42D5">
        <w:t xml:space="preserve"> een positief advies. De ARO geeft bij een positief advies </w:t>
      </w:r>
      <w:r w:rsidR="00272B82">
        <w:t xml:space="preserve">altijd </w:t>
      </w:r>
      <w:r w:rsidR="006C68E8">
        <w:t>aanbevelingen</w:t>
      </w:r>
      <w:r w:rsidR="008B42D5">
        <w:t xml:space="preserve"> mee</w:t>
      </w:r>
      <w:r w:rsidR="006C68E8">
        <w:t xml:space="preserve">. Als er grotere twijfels zijn over een plan is de ARO kritisch in haar advies en </w:t>
      </w:r>
      <w:r w:rsidR="001E4A62">
        <w:t xml:space="preserve">geeft </w:t>
      </w:r>
      <w:r w:rsidR="006C68E8">
        <w:t xml:space="preserve">dan </w:t>
      </w:r>
      <w:r w:rsidR="001E4A62">
        <w:t xml:space="preserve">aanbevelingen mee </w:t>
      </w:r>
      <w:r w:rsidR="00C57E69">
        <w:t xml:space="preserve">over </w:t>
      </w:r>
      <w:r w:rsidR="001E4A62">
        <w:t xml:space="preserve">hoe een plan kan worden verbeterd voor wat betreft de ruimtelijke kwaliteit. </w:t>
      </w:r>
      <w:r w:rsidR="006C68E8">
        <w:t>B</w:t>
      </w:r>
      <w:r w:rsidR="00447D08">
        <w:t xml:space="preserve">ij grotere twijfels </w:t>
      </w:r>
      <w:r w:rsidR="008B42D5">
        <w:t xml:space="preserve">kan de ARO </w:t>
      </w:r>
      <w:r w:rsidR="00C57E69">
        <w:t xml:space="preserve">de initiatiefnemer </w:t>
      </w:r>
      <w:r w:rsidR="008B42D5">
        <w:t xml:space="preserve">vragen om </w:t>
      </w:r>
      <w:r w:rsidR="00447D08">
        <w:t>het plan na aanpassing nogmaals voor te leggen aan de ARO.</w:t>
      </w:r>
    </w:p>
    <w:p w:rsidR="00551915" w:rsidRDefault="00551915" w:rsidP="001E73C8">
      <w:pPr>
        <w:pStyle w:val="Geenafstand"/>
        <w:jc w:val="both"/>
        <w:rPr>
          <w:b/>
          <w:bCs/>
          <w:sz w:val="28"/>
          <w:szCs w:val="28"/>
        </w:rPr>
      </w:pPr>
    </w:p>
    <w:p w:rsidR="00FF0EA4" w:rsidRPr="00FF0EA4" w:rsidRDefault="00970450" w:rsidP="00D35835">
      <w:pPr>
        <w:pStyle w:val="Geenafstand"/>
        <w:jc w:val="both"/>
        <w:rPr>
          <w:b/>
        </w:rPr>
      </w:pPr>
      <w:r>
        <w:rPr>
          <w:b/>
        </w:rPr>
        <w:t>Onderwerp behandelde plannen</w:t>
      </w:r>
    </w:p>
    <w:p w:rsidR="006C68E8" w:rsidRDefault="00E7599D" w:rsidP="00D35835">
      <w:pPr>
        <w:pStyle w:val="Geenafstand"/>
        <w:jc w:val="both"/>
      </w:pPr>
      <w:r>
        <w:t>3</w:t>
      </w:r>
      <w:r w:rsidR="009E04E7">
        <w:t xml:space="preserve"> van de </w:t>
      </w:r>
      <w:r>
        <w:t>4</w:t>
      </w:r>
      <w:r w:rsidR="00F53271">
        <w:t xml:space="preserve"> behandelde plannen in 201</w:t>
      </w:r>
      <w:r w:rsidR="009E04E7">
        <w:t>9</w:t>
      </w:r>
      <w:r w:rsidR="00F53271">
        <w:t xml:space="preserve"> </w:t>
      </w:r>
      <w:r w:rsidR="009E04E7">
        <w:t>waren</w:t>
      </w:r>
      <w:r w:rsidR="00F53271">
        <w:t xml:space="preserve"> woningbouwplannen. Daarnaast </w:t>
      </w:r>
      <w:r w:rsidR="009E04E7">
        <w:t>ging één plan over duurzame energieopwekking (</w:t>
      </w:r>
      <w:r w:rsidR="00C57E69">
        <w:t xml:space="preserve">een </w:t>
      </w:r>
      <w:r w:rsidR="009E04E7">
        <w:t>zonneakker).</w:t>
      </w:r>
      <w:r w:rsidR="00613629">
        <w:t xml:space="preserve"> De ARO adviseerde ook over de Omgevingskwaliteit IJsselmeergebied. </w:t>
      </w:r>
      <w:r w:rsidR="00C57E69">
        <w:t xml:space="preserve">Aangezien het hier niet </w:t>
      </w:r>
      <w:r w:rsidR="00613629">
        <w:t xml:space="preserve">om een concreet plan gaat, wordt </w:t>
      </w:r>
      <w:r w:rsidR="00C57E69">
        <w:t>deze</w:t>
      </w:r>
      <w:r w:rsidR="00744160">
        <w:t xml:space="preserve"> in het jaarverslag</w:t>
      </w:r>
      <w:r w:rsidR="00C57E69">
        <w:t xml:space="preserve"> niet meegerekend als advies en wordt </w:t>
      </w:r>
      <w:r w:rsidR="00DC7874">
        <w:t xml:space="preserve">er </w:t>
      </w:r>
      <w:r w:rsidR="00613629">
        <w:t>verder niet op ingegaan.</w:t>
      </w:r>
    </w:p>
    <w:p w:rsidR="00D35835" w:rsidRDefault="00D35835" w:rsidP="001E73C8">
      <w:pPr>
        <w:pStyle w:val="Geenafstand"/>
      </w:pPr>
    </w:p>
    <w:p w:rsidR="00272B82" w:rsidRPr="00AC474C" w:rsidRDefault="00272B82" w:rsidP="00AC474C">
      <w:pPr>
        <w:jc w:val="both"/>
      </w:pPr>
    </w:p>
    <w:p w:rsidR="00D35835" w:rsidRDefault="00D35835" w:rsidP="001E73C8">
      <w:pPr>
        <w:pStyle w:val="Geenafstand"/>
      </w:pPr>
    </w:p>
    <w:p w:rsidR="00D35835" w:rsidRDefault="00D35835" w:rsidP="001E73C8">
      <w:pPr>
        <w:pStyle w:val="Geenafstand"/>
      </w:pPr>
    </w:p>
    <w:p w:rsidR="00880ABD" w:rsidRDefault="00B12D62" w:rsidP="001E73C8">
      <w:pPr>
        <w:pStyle w:val="Geenafstand"/>
      </w:pPr>
      <w:r>
        <w:rPr>
          <w:noProof/>
          <w:lang w:eastAsia="nl-NL"/>
        </w:rPr>
        <w:drawing>
          <wp:inline distT="0" distB="0" distL="0" distR="0" wp14:anchorId="23CFABAD" wp14:editId="241807D4">
            <wp:extent cx="4572635" cy="2743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880ABD" w:rsidRDefault="00880ABD" w:rsidP="001E73C8">
      <w:pPr>
        <w:pStyle w:val="Geenafstand"/>
      </w:pPr>
    </w:p>
    <w:p w:rsidR="001E73C8" w:rsidRDefault="001E73C8" w:rsidP="001E73C8">
      <w:pPr>
        <w:pStyle w:val="Geenafstand"/>
      </w:pPr>
      <w:r>
        <w:t xml:space="preserve"> </w:t>
      </w:r>
    </w:p>
    <w:p w:rsidR="00EE27B4" w:rsidRDefault="00880ABD" w:rsidP="001E73C8">
      <w:pPr>
        <w:pStyle w:val="Geenafstand"/>
      </w:pPr>
      <w:r>
        <w:rPr>
          <w:noProof/>
          <w:lang w:eastAsia="nl-NL"/>
        </w:rPr>
        <w:drawing>
          <wp:inline distT="0" distB="0" distL="0" distR="0" wp14:anchorId="4A3C87CB" wp14:editId="578FFFC2">
            <wp:extent cx="4221480" cy="2452370"/>
            <wp:effectExtent l="0" t="0" r="7620" b="508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5835" w:rsidRDefault="00D35835" w:rsidP="001E73C8">
      <w:pPr>
        <w:pStyle w:val="Geenafstand"/>
      </w:pPr>
    </w:p>
    <w:p w:rsidR="00272B82" w:rsidRDefault="00272B82" w:rsidP="00D35835">
      <w:pPr>
        <w:jc w:val="both"/>
      </w:pPr>
    </w:p>
    <w:p w:rsidR="00B45172" w:rsidRDefault="00B45172" w:rsidP="00D35835">
      <w:pPr>
        <w:jc w:val="both"/>
      </w:pPr>
    </w:p>
    <w:p w:rsidR="00B45172" w:rsidRDefault="00B45172" w:rsidP="00D35835">
      <w:pPr>
        <w:jc w:val="both"/>
      </w:pPr>
    </w:p>
    <w:p w:rsidR="00B45172" w:rsidRDefault="00B45172" w:rsidP="00D35835">
      <w:pPr>
        <w:jc w:val="both"/>
      </w:pPr>
    </w:p>
    <w:p w:rsidR="00B45172" w:rsidRDefault="00B45172" w:rsidP="00D35835">
      <w:pPr>
        <w:jc w:val="both"/>
      </w:pPr>
    </w:p>
    <w:p w:rsidR="00613629" w:rsidRPr="00FF0EA4" w:rsidRDefault="00613629" w:rsidP="00613629">
      <w:pPr>
        <w:jc w:val="both"/>
        <w:rPr>
          <w:b/>
        </w:rPr>
      </w:pPr>
      <w:r>
        <w:rPr>
          <w:b/>
        </w:rPr>
        <w:t>Locatie van de plannen: ensembles Leidraad</w:t>
      </w:r>
    </w:p>
    <w:p w:rsidR="00F53271" w:rsidRDefault="00613629" w:rsidP="00613629">
      <w:pPr>
        <w:jc w:val="both"/>
      </w:pPr>
      <w:r>
        <w:t>De Leidraad Landschap en Cultuurhistorie (2018) diende als basis voor de advisering. In de nieuwe Leidraad is Noord-Holland ingedeeld in samenhangende landschappelijke eenheden: ensembles.</w:t>
      </w:r>
      <w:r w:rsidRPr="00AC474C">
        <w:t xml:space="preserve"> De plannen die aan de ARO zijn voorgelegd zijn verspreid over de verschillende ensembles.</w:t>
      </w:r>
      <w:r w:rsidR="0056606C">
        <w:t xml:space="preserve"> </w:t>
      </w:r>
      <w:r w:rsidR="0011168E">
        <w:t xml:space="preserve">2 </w:t>
      </w:r>
      <w:r w:rsidR="00B95F7F">
        <w:t>woningbouwplannen betreffen</w:t>
      </w:r>
      <w:r w:rsidR="00BF605F">
        <w:t xml:space="preserve"> het</w:t>
      </w:r>
      <w:r w:rsidR="001A5C46">
        <w:t xml:space="preserve"> ensemb</w:t>
      </w:r>
      <w:r w:rsidR="00272B82">
        <w:t xml:space="preserve">le </w:t>
      </w:r>
      <w:r w:rsidR="00B95F7F">
        <w:t xml:space="preserve">West-Friesland West, het plan voor de zonneakker het ensemble Koegras </w:t>
      </w:r>
      <w:r w:rsidR="00B147BE">
        <w:t>-</w:t>
      </w:r>
      <w:r w:rsidR="00B95F7F">
        <w:t xml:space="preserve"> Anna Paulownapolder en het plan voor Strandeiland IJburg raakt aan het ensemble Vechtstreek</w:t>
      </w:r>
      <w:r w:rsidR="00EE2EB5">
        <w:t xml:space="preserve">. </w:t>
      </w:r>
    </w:p>
    <w:p w:rsidR="00551915" w:rsidRDefault="00551915">
      <w:pPr>
        <w:rPr>
          <w:noProof/>
          <w:lang w:eastAsia="nl-NL"/>
        </w:rPr>
      </w:pPr>
    </w:p>
    <w:p w:rsidR="00880ABD" w:rsidRDefault="00880ABD">
      <w:pPr>
        <w:rPr>
          <w:noProof/>
          <w:lang w:eastAsia="nl-NL"/>
        </w:rPr>
      </w:pPr>
      <w:r>
        <w:rPr>
          <w:noProof/>
          <w:lang w:eastAsia="nl-NL"/>
        </w:rPr>
        <w:drawing>
          <wp:inline distT="0" distB="0" distL="0" distR="0" wp14:anchorId="28CF7065" wp14:editId="3F4652B1">
            <wp:extent cx="4221480" cy="2629535"/>
            <wp:effectExtent l="0" t="0" r="762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0ABD" w:rsidRDefault="00880ABD"/>
    <w:p w:rsidR="00970450" w:rsidRPr="00970450" w:rsidRDefault="00970450" w:rsidP="00D35835">
      <w:pPr>
        <w:jc w:val="both"/>
        <w:rPr>
          <w:b/>
        </w:rPr>
      </w:pPr>
      <w:r w:rsidRPr="00970450">
        <w:rPr>
          <w:b/>
        </w:rPr>
        <w:t>Betrokken gemeenten</w:t>
      </w:r>
    </w:p>
    <w:p w:rsidR="001B6AB3" w:rsidRDefault="00551915" w:rsidP="00D35835">
      <w:pPr>
        <w:jc w:val="both"/>
      </w:pPr>
      <w:r w:rsidRPr="00E705B8">
        <w:t xml:space="preserve">Met twee plannen </w:t>
      </w:r>
      <w:r w:rsidR="001B6AB3">
        <w:t>is de</w:t>
      </w:r>
      <w:r w:rsidR="00744160">
        <w:t xml:space="preserve"> gemeente</w:t>
      </w:r>
      <w:r w:rsidR="001B6AB3">
        <w:t xml:space="preserve"> </w:t>
      </w:r>
      <w:r w:rsidR="00B147BE">
        <w:t>Schagen het</w:t>
      </w:r>
      <w:r w:rsidR="001B6AB3">
        <w:t xml:space="preserve"> </w:t>
      </w:r>
      <w:r w:rsidRPr="00E705B8">
        <w:t>vaakst</w:t>
      </w:r>
      <w:r w:rsidR="00470BEC">
        <w:t xml:space="preserve"> </w:t>
      </w:r>
      <w:r w:rsidRPr="00E705B8">
        <w:t xml:space="preserve">bij de </w:t>
      </w:r>
      <w:r>
        <w:t xml:space="preserve">ARO </w:t>
      </w:r>
      <w:r w:rsidRPr="00E705B8">
        <w:t>aangeschoven.</w:t>
      </w:r>
      <w:r>
        <w:t xml:space="preserve"> </w:t>
      </w:r>
      <w:r w:rsidR="001B6AB3">
        <w:t xml:space="preserve">De gemeenten </w:t>
      </w:r>
      <w:r w:rsidR="00B147BE">
        <w:t>Hollands Kroon en Amsterdam</w:t>
      </w:r>
      <w:r w:rsidR="001B6AB3">
        <w:t xml:space="preserve"> </w:t>
      </w:r>
      <w:r w:rsidR="00410955">
        <w:t>dienden elk één plan in</w:t>
      </w:r>
      <w:r w:rsidR="001B6AB3">
        <w:t>.</w:t>
      </w:r>
    </w:p>
    <w:p w:rsidR="003064B7" w:rsidRDefault="003064B7" w:rsidP="00D35835">
      <w:pPr>
        <w:jc w:val="both"/>
      </w:pPr>
    </w:p>
    <w:p w:rsidR="00970450" w:rsidRPr="00970450" w:rsidRDefault="00970450" w:rsidP="00D35835">
      <w:pPr>
        <w:jc w:val="both"/>
        <w:rPr>
          <w:b/>
        </w:rPr>
      </w:pPr>
      <w:r w:rsidRPr="00970450">
        <w:rPr>
          <w:b/>
        </w:rPr>
        <w:t>Bestuurlijke regio’s</w:t>
      </w:r>
    </w:p>
    <w:p w:rsidR="00D35835" w:rsidRDefault="003064B7" w:rsidP="00D35835">
      <w:pPr>
        <w:jc w:val="both"/>
      </w:pPr>
      <w:r>
        <w:t xml:space="preserve">Kijkend naar de bestuurlijke regio’s zijn </w:t>
      </w:r>
      <w:r w:rsidR="00B12D62">
        <w:t>3</w:t>
      </w:r>
      <w:r w:rsidR="00C37612">
        <w:t xml:space="preserve"> </w:t>
      </w:r>
      <w:r w:rsidR="00B147BE">
        <w:t xml:space="preserve">van de </w:t>
      </w:r>
      <w:r w:rsidR="00B12D62">
        <w:t>4 i</w:t>
      </w:r>
      <w:r w:rsidR="00D35835">
        <w:t>n 201</w:t>
      </w:r>
      <w:r w:rsidR="00B147BE">
        <w:t>9</w:t>
      </w:r>
      <w:r w:rsidR="00D35835">
        <w:t xml:space="preserve"> </w:t>
      </w:r>
      <w:r>
        <w:t xml:space="preserve">behandelde plannen afkomstig uit de regio </w:t>
      </w:r>
      <w:r w:rsidR="00DF6737">
        <w:t>Kop van Noord-Holland</w:t>
      </w:r>
      <w:r w:rsidR="00B147BE">
        <w:t xml:space="preserve">. De regio </w:t>
      </w:r>
      <w:r w:rsidR="00DF6737">
        <w:t xml:space="preserve">Amsterdam is </w:t>
      </w:r>
      <w:r w:rsidR="00B147BE">
        <w:t>goed voor één plan.</w:t>
      </w:r>
    </w:p>
    <w:p w:rsidR="00C83D6A" w:rsidRDefault="00C83D6A" w:rsidP="00D35835">
      <w:pPr>
        <w:jc w:val="both"/>
      </w:pPr>
    </w:p>
    <w:p w:rsidR="00CE4471" w:rsidRDefault="00880ABD">
      <w:r>
        <w:rPr>
          <w:noProof/>
          <w:lang w:eastAsia="nl-NL"/>
        </w:rPr>
        <w:drawing>
          <wp:inline distT="0" distB="0" distL="0" distR="0" wp14:anchorId="5D8DF6C4" wp14:editId="220CDBB0">
            <wp:extent cx="4221480" cy="2620645"/>
            <wp:effectExtent l="0" t="0" r="7620" b="825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52C5" w:rsidRDefault="005252C5"/>
    <w:p w:rsidR="00613629" w:rsidRDefault="00613629"/>
    <w:p w:rsidR="00613629" w:rsidRDefault="00613629"/>
    <w:p w:rsidR="00613629" w:rsidRDefault="00613629"/>
    <w:p w:rsidR="00613629" w:rsidRDefault="00613629"/>
    <w:p w:rsidR="00613629" w:rsidRDefault="00B12D62">
      <w:r>
        <w:rPr>
          <w:noProof/>
          <w:lang w:eastAsia="nl-NL"/>
        </w:rPr>
        <w:drawing>
          <wp:inline distT="0" distB="0" distL="0" distR="0" wp14:anchorId="6BCA5E22" wp14:editId="7D1F0F54">
            <wp:extent cx="4529455" cy="268859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55" cy="2688590"/>
                    </a:xfrm>
                    <a:prstGeom prst="rect">
                      <a:avLst/>
                    </a:prstGeom>
                    <a:noFill/>
                  </pic:spPr>
                </pic:pic>
              </a:graphicData>
            </a:graphic>
          </wp:inline>
        </w:drawing>
      </w:r>
    </w:p>
    <w:p w:rsidR="005252C5" w:rsidRDefault="005252C5"/>
    <w:p w:rsidR="0078161C" w:rsidRDefault="0078161C" w:rsidP="002A7505">
      <w:pPr>
        <w:spacing w:after="200" w:line="276" w:lineRule="auto"/>
        <w:rPr>
          <w:b/>
          <w:sz w:val="28"/>
          <w:szCs w:val="28"/>
        </w:rPr>
      </w:pPr>
    </w:p>
    <w:p w:rsidR="002A7505" w:rsidRPr="002A7505" w:rsidRDefault="001E73C8" w:rsidP="002A7505">
      <w:pPr>
        <w:spacing w:after="200" w:line="276" w:lineRule="auto"/>
        <w:rPr>
          <w:b/>
          <w:sz w:val="28"/>
          <w:szCs w:val="28"/>
        </w:rPr>
        <w:sectPr w:rsidR="002A7505" w:rsidRPr="002A7505" w:rsidSect="0078161C">
          <w:pgSz w:w="16838" w:h="11906" w:orient="landscape"/>
          <w:pgMar w:top="709" w:right="1417" w:bottom="851" w:left="1417" w:header="708" w:footer="708" w:gutter="0"/>
          <w:cols w:num="2" w:space="708"/>
          <w:docGrid w:linePitch="360"/>
        </w:sectPr>
      </w:pPr>
      <w:r>
        <w:rPr>
          <w:b/>
          <w:sz w:val="28"/>
          <w:szCs w:val="28"/>
        </w:rPr>
        <w:t>Overzicht plannen en ARO-</w:t>
      </w:r>
      <w:r w:rsidRPr="00C941F9">
        <w:rPr>
          <w:b/>
          <w:sz w:val="28"/>
          <w:szCs w:val="28"/>
        </w:rPr>
        <w:t>adviezen 201</w:t>
      </w:r>
      <w:r w:rsidR="00840E99" w:rsidRPr="00C941F9">
        <w:rPr>
          <w:b/>
          <w:sz w:val="28"/>
          <w:szCs w:val="28"/>
        </w:rPr>
        <w:t xml:space="preserve">9 </w:t>
      </w:r>
    </w:p>
    <w:tbl>
      <w:tblPr>
        <w:tblW w:w="15433" w:type="dxa"/>
        <w:tblInd w:w="-543" w:type="dxa"/>
        <w:tblLayout w:type="fixed"/>
        <w:tblCellMar>
          <w:left w:w="70" w:type="dxa"/>
          <w:right w:w="70" w:type="dxa"/>
        </w:tblCellMar>
        <w:tblLook w:val="04A0" w:firstRow="1" w:lastRow="0" w:firstColumn="1" w:lastColumn="0" w:noHBand="0" w:noVBand="1"/>
      </w:tblPr>
      <w:tblGrid>
        <w:gridCol w:w="471"/>
        <w:gridCol w:w="3119"/>
        <w:gridCol w:w="1134"/>
        <w:gridCol w:w="1435"/>
        <w:gridCol w:w="1476"/>
        <w:gridCol w:w="1802"/>
        <w:gridCol w:w="1995"/>
        <w:gridCol w:w="2611"/>
        <w:gridCol w:w="1390"/>
      </w:tblGrid>
      <w:tr w:rsidR="002A7505" w:rsidRPr="002A7505" w:rsidTr="0012446B">
        <w:trPr>
          <w:trHeight w:val="255"/>
        </w:trPr>
        <w:tc>
          <w:tcPr>
            <w:tcW w:w="471" w:type="dxa"/>
            <w:tcBorders>
              <w:top w:val="single" w:sz="4" w:space="0" w:color="4F81BD"/>
              <w:left w:val="nil"/>
              <w:bottom w:val="single" w:sz="4" w:space="0" w:color="4F81BD"/>
              <w:right w:val="nil"/>
            </w:tcBorders>
            <w:shd w:val="clear" w:color="auto" w:fill="auto"/>
            <w:noWrap/>
            <w:vAlign w:val="bottom"/>
            <w:hideMark/>
          </w:tcPr>
          <w:p w:rsidR="002A7505" w:rsidRPr="002A7505" w:rsidRDefault="002A7505" w:rsidP="00B06327">
            <w:pPr>
              <w:rPr>
                <w:rFonts w:ascii="Arial" w:eastAsia="Times New Roman" w:hAnsi="Arial" w:cs="Arial"/>
                <w:b/>
                <w:bCs/>
                <w:sz w:val="16"/>
                <w:szCs w:val="16"/>
                <w:lang w:eastAsia="nl-NL"/>
              </w:rPr>
            </w:pPr>
          </w:p>
        </w:tc>
        <w:tc>
          <w:tcPr>
            <w:tcW w:w="3119" w:type="dxa"/>
            <w:tcBorders>
              <w:top w:val="single" w:sz="4" w:space="0" w:color="4F81BD"/>
              <w:left w:val="nil"/>
              <w:bottom w:val="single" w:sz="4" w:space="0" w:color="4F81BD"/>
              <w:right w:val="nil"/>
            </w:tcBorders>
            <w:shd w:val="clear" w:color="auto" w:fill="auto"/>
            <w:noWrap/>
            <w:vAlign w:val="bottom"/>
            <w:hideMark/>
          </w:tcPr>
          <w:p w:rsidR="002A7505" w:rsidRPr="002A7505" w:rsidRDefault="002A7505" w:rsidP="00B06327">
            <w:pPr>
              <w:rPr>
                <w:rFonts w:ascii="Arial" w:eastAsia="Times New Roman" w:hAnsi="Arial" w:cs="Arial"/>
                <w:b/>
                <w:bCs/>
                <w:sz w:val="16"/>
                <w:szCs w:val="16"/>
                <w:lang w:eastAsia="nl-NL"/>
              </w:rPr>
            </w:pPr>
            <w:r w:rsidRPr="002A7505">
              <w:rPr>
                <w:rFonts w:ascii="Arial" w:eastAsia="Times New Roman" w:hAnsi="Arial" w:cs="Arial"/>
                <w:b/>
                <w:bCs/>
                <w:sz w:val="16"/>
                <w:szCs w:val="16"/>
                <w:lang w:eastAsia="nl-NL"/>
              </w:rPr>
              <w:t>Plan</w:t>
            </w:r>
            <w:r w:rsidR="004B4960">
              <w:rPr>
                <w:rFonts w:ascii="Arial" w:eastAsia="Times New Roman" w:hAnsi="Arial" w:cs="Arial"/>
                <w:b/>
                <w:bCs/>
                <w:sz w:val="16"/>
                <w:szCs w:val="16"/>
                <w:lang w:eastAsia="nl-NL"/>
              </w:rPr>
              <w:t xml:space="preserve"> / visie</w:t>
            </w:r>
            <w:r w:rsidR="009C3924">
              <w:rPr>
                <w:rFonts w:ascii="Arial" w:eastAsia="Times New Roman" w:hAnsi="Arial" w:cs="Arial"/>
                <w:b/>
                <w:bCs/>
                <w:sz w:val="16"/>
                <w:szCs w:val="16"/>
                <w:lang w:eastAsia="nl-NL"/>
              </w:rPr>
              <w:t xml:space="preserve"> </w:t>
            </w:r>
          </w:p>
        </w:tc>
        <w:tc>
          <w:tcPr>
            <w:tcW w:w="1134" w:type="dxa"/>
            <w:tcBorders>
              <w:top w:val="single" w:sz="4" w:space="0" w:color="4F81BD"/>
              <w:left w:val="nil"/>
              <w:bottom w:val="single" w:sz="4" w:space="0" w:color="4F81BD"/>
              <w:right w:val="nil"/>
            </w:tcBorders>
            <w:shd w:val="clear" w:color="auto" w:fill="auto"/>
            <w:noWrap/>
            <w:vAlign w:val="bottom"/>
            <w:hideMark/>
          </w:tcPr>
          <w:p w:rsidR="002A7505" w:rsidRPr="002A7505" w:rsidRDefault="0012446B"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V</w:t>
            </w:r>
            <w:r w:rsidR="002A7505" w:rsidRPr="002A7505">
              <w:rPr>
                <w:rFonts w:ascii="Arial" w:eastAsia="Times New Roman" w:hAnsi="Arial" w:cs="Arial"/>
                <w:b/>
                <w:bCs/>
                <w:sz w:val="16"/>
                <w:szCs w:val="16"/>
                <w:lang w:eastAsia="nl-NL"/>
              </w:rPr>
              <w:t>ergadering</w:t>
            </w:r>
          </w:p>
        </w:tc>
        <w:tc>
          <w:tcPr>
            <w:tcW w:w="1435" w:type="dxa"/>
            <w:tcBorders>
              <w:top w:val="single" w:sz="4" w:space="0" w:color="4F81BD"/>
              <w:left w:val="nil"/>
              <w:bottom w:val="single" w:sz="4" w:space="0" w:color="4F81BD"/>
              <w:right w:val="nil"/>
            </w:tcBorders>
            <w:shd w:val="clear" w:color="auto" w:fill="auto"/>
            <w:noWrap/>
            <w:vAlign w:val="bottom"/>
            <w:hideMark/>
          </w:tcPr>
          <w:p w:rsidR="002A7505" w:rsidRPr="002A7505" w:rsidRDefault="0012446B"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P</w:t>
            </w:r>
            <w:r w:rsidR="002A7505" w:rsidRPr="002A7505">
              <w:rPr>
                <w:rFonts w:ascii="Arial" w:eastAsia="Times New Roman" w:hAnsi="Arial" w:cs="Arial"/>
                <w:b/>
                <w:bCs/>
                <w:sz w:val="16"/>
                <w:szCs w:val="16"/>
                <w:lang w:eastAsia="nl-NL"/>
              </w:rPr>
              <w:t>rogramma</w:t>
            </w:r>
          </w:p>
        </w:tc>
        <w:tc>
          <w:tcPr>
            <w:tcW w:w="1476" w:type="dxa"/>
            <w:tcBorders>
              <w:top w:val="single" w:sz="4" w:space="0" w:color="4F81BD"/>
              <w:left w:val="nil"/>
              <w:bottom w:val="single" w:sz="4" w:space="0" w:color="4F81BD"/>
              <w:right w:val="nil"/>
            </w:tcBorders>
            <w:shd w:val="clear" w:color="auto" w:fill="auto"/>
            <w:noWrap/>
            <w:vAlign w:val="bottom"/>
            <w:hideMark/>
          </w:tcPr>
          <w:p w:rsidR="000815DB" w:rsidRPr="002A7505" w:rsidRDefault="000815DB"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Indiener plan</w:t>
            </w:r>
          </w:p>
        </w:tc>
        <w:tc>
          <w:tcPr>
            <w:tcW w:w="1802" w:type="dxa"/>
            <w:tcBorders>
              <w:top w:val="single" w:sz="4" w:space="0" w:color="4F81BD"/>
              <w:left w:val="nil"/>
              <w:bottom w:val="single" w:sz="4" w:space="0" w:color="4F81BD"/>
              <w:right w:val="nil"/>
            </w:tcBorders>
            <w:shd w:val="clear" w:color="auto" w:fill="auto"/>
            <w:noWrap/>
            <w:vAlign w:val="bottom"/>
            <w:hideMark/>
          </w:tcPr>
          <w:p w:rsidR="002A7505" w:rsidRPr="002A7505" w:rsidRDefault="008C0E89" w:rsidP="008C0E89">
            <w:pPr>
              <w:rPr>
                <w:rFonts w:ascii="Arial" w:eastAsia="Times New Roman" w:hAnsi="Arial" w:cs="Arial"/>
                <w:b/>
                <w:bCs/>
                <w:sz w:val="16"/>
                <w:szCs w:val="16"/>
                <w:lang w:eastAsia="nl-NL"/>
              </w:rPr>
            </w:pPr>
            <w:r>
              <w:rPr>
                <w:rFonts w:ascii="Arial" w:eastAsia="Times New Roman" w:hAnsi="Arial" w:cs="Arial"/>
                <w:b/>
                <w:bCs/>
                <w:sz w:val="16"/>
                <w:szCs w:val="16"/>
                <w:lang w:eastAsia="nl-NL"/>
              </w:rPr>
              <w:t>Bestuurlijke r</w:t>
            </w:r>
            <w:r w:rsidR="002A7505" w:rsidRPr="002A7505">
              <w:rPr>
                <w:rFonts w:ascii="Arial" w:eastAsia="Times New Roman" w:hAnsi="Arial" w:cs="Arial"/>
                <w:b/>
                <w:bCs/>
                <w:sz w:val="16"/>
                <w:szCs w:val="16"/>
                <w:lang w:eastAsia="nl-NL"/>
              </w:rPr>
              <w:t>egio</w:t>
            </w:r>
          </w:p>
        </w:tc>
        <w:tc>
          <w:tcPr>
            <w:tcW w:w="1995" w:type="dxa"/>
            <w:tcBorders>
              <w:top w:val="single" w:sz="4" w:space="0" w:color="4F81BD"/>
              <w:left w:val="nil"/>
              <w:bottom w:val="single" w:sz="4" w:space="0" w:color="4F81BD"/>
              <w:right w:val="nil"/>
            </w:tcBorders>
            <w:shd w:val="clear" w:color="auto" w:fill="auto"/>
            <w:noWrap/>
            <w:vAlign w:val="bottom"/>
            <w:hideMark/>
          </w:tcPr>
          <w:p w:rsidR="002A7505" w:rsidRPr="002A7505" w:rsidRDefault="001B6AB3"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Ensemble</w:t>
            </w:r>
            <w:r w:rsidR="008C0E89">
              <w:rPr>
                <w:rFonts w:ascii="Arial" w:eastAsia="Times New Roman" w:hAnsi="Arial" w:cs="Arial"/>
                <w:b/>
                <w:bCs/>
                <w:sz w:val="16"/>
                <w:szCs w:val="16"/>
                <w:lang w:eastAsia="nl-NL"/>
              </w:rPr>
              <w:t xml:space="preserve"> Leidraad</w:t>
            </w:r>
          </w:p>
        </w:tc>
        <w:tc>
          <w:tcPr>
            <w:tcW w:w="2611" w:type="dxa"/>
            <w:tcBorders>
              <w:top w:val="single" w:sz="4" w:space="0" w:color="4F81BD"/>
              <w:left w:val="nil"/>
              <w:bottom w:val="single" w:sz="4" w:space="0" w:color="4F81BD"/>
              <w:right w:val="nil"/>
            </w:tcBorders>
            <w:shd w:val="clear" w:color="auto" w:fill="auto"/>
            <w:noWrap/>
            <w:vAlign w:val="bottom"/>
            <w:hideMark/>
          </w:tcPr>
          <w:p w:rsidR="002A7505" w:rsidRPr="002A7505" w:rsidRDefault="00EA4997"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Aard van het advies</w:t>
            </w:r>
          </w:p>
        </w:tc>
        <w:tc>
          <w:tcPr>
            <w:tcW w:w="1390" w:type="dxa"/>
            <w:tcBorders>
              <w:top w:val="single" w:sz="4" w:space="0" w:color="4F81BD"/>
              <w:left w:val="nil"/>
              <w:bottom w:val="single" w:sz="4" w:space="0" w:color="4F81BD"/>
              <w:right w:val="nil"/>
            </w:tcBorders>
            <w:shd w:val="clear" w:color="auto" w:fill="auto"/>
            <w:noWrap/>
            <w:vAlign w:val="bottom"/>
            <w:hideMark/>
          </w:tcPr>
          <w:p w:rsidR="002A7505" w:rsidRPr="002A7505" w:rsidRDefault="003A2421" w:rsidP="00B06327">
            <w:pPr>
              <w:rPr>
                <w:rFonts w:ascii="Arial" w:eastAsia="Times New Roman" w:hAnsi="Arial" w:cs="Arial"/>
                <w:b/>
                <w:bCs/>
                <w:sz w:val="16"/>
                <w:szCs w:val="16"/>
                <w:lang w:eastAsia="nl-NL"/>
              </w:rPr>
            </w:pPr>
            <w:r>
              <w:rPr>
                <w:rFonts w:ascii="Arial" w:eastAsia="Times New Roman" w:hAnsi="Arial" w:cs="Arial"/>
                <w:b/>
                <w:bCs/>
                <w:sz w:val="16"/>
                <w:szCs w:val="16"/>
                <w:lang w:eastAsia="nl-NL"/>
              </w:rPr>
              <w:t xml:space="preserve">Tweede </w:t>
            </w:r>
            <w:r w:rsidR="002A7505" w:rsidRPr="002A7505">
              <w:rPr>
                <w:rFonts w:ascii="Arial" w:eastAsia="Times New Roman" w:hAnsi="Arial" w:cs="Arial"/>
                <w:b/>
                <w:bCs/>
                <w:sz w:val="16"/>
                <w:szCs w:val="16"/>
                <w:lang w:eastAsia="nl-NL"/>
              </w:rPr>
              <w:t>behandel</w:t>
            </w:r>
            <w:r>
              <w:rPr>
                <w:rFonts w:ascii="Arial" w:eastAsia="Times New Roman" w:hAnsi="Arial" w:cs="Arial"/>
                <w:b/>
                <w:bCs/>
                <w:sz w:val="16"/>
                <w:szCs w:val="16"/>
                <w:lang w:eastAsia="nl-NL"/>
              </w:rPr>
              <w:t>ing</w:t>
            </w:r>
            <w:r w:rsidR="00462F87">
              <w:rPr>
                <w:rFonts w:ascii="Arial" w:eastAsia="Times New Roman" w:hAnsi="Arial" w:cs="Arial"/>
                <w:b/>
                <w:bCs/>
                <w:sz w:val="16"/>
                <w:szCs w:val="16"/>
                <w:lang w:eastAsia="nl-NL"/>
              </w:rPr>
              <w:t>?</w:t>
            </w:r>
          </w:p>
        </w:tc>
      </w:tr>
      <w:tr w:rsidR="00A830F3" w:rsidRPr="002A7505" w:rsidTr="0012446B">
        <w:trPr>
          <w:trHeight w:val="255"/>
        </w:trPr>
        <w:tc>
          <w:tcPr>
            <w:tcW w:w="471" w:type="dxa"/>
            <w:tcBorders>
              <w:top w:val="nil"/>
              <w:left w:val="nil"/>
              <w:bottom w:val="nil"/>
              <w:right w:val="nil"/>
            </w:tcBorders>
            <w:shd w:val="clear" w:color="DCE6F1" w:fill="DCE6F1"/>
            <w:noWrap/>
            <w:vAlign w:val="bottom"/>
            <w:hideMark/>
          </w:tcPr>
          <w:p w:rsidR="00F55662" w:rsidRDefault="00F55662" w:rsidP="00B06327">
            <w:pPr>
              <w:jc w:val="right"/>
              <w:rPr>
                <w:rFonts w:ascii="Arial" w:eastAsia="Times New Roman" w:hAnsi="Arial" w:cs="Arial"/>
                <w:sz w:val="16"/>
                <w:szCs w:val="16"/>
                <w:lang w:eastAsia="nl-NL"/>
              </w:rPr>
            </w:pPr>
          </w:p>
          <w:p w:rsidR="00B06327" w:rsidRDefault="00B06327" w:rsidP="00B06327">
            <w:pPr>
              <w:jc w:val="right"/>
              <w:rPr>
                <w:rFonts w:ascii="Arial" w:eastAsia="Times New Roman" w:hAnsi="Arial" w:cs="Arial"/>
                <w:sz w:val="16"/>
                <w:szCs w:val="16"/>
                <w:lang w:eastAsia="nl-NL"/>
              </w:rPr>
            </w:pPr>
          </w:p>
          <w:p w:rsidR="002A7505" w:rsidRPr="002A7505" w:rsidRDefault="002A7505" w:rsidP="00B06327">
            <w:pPr>
              <w:jc w:val="right"/>
              <w:rPr>
                <w:rFonts w:ascii="Arial" w:eastAsia="Times New Roman" w:hAnsi="Arial" w:cs="Arial"/>
                <w:sz w:val="16"/>
                <w:szCs w:val="16"/>
                <w:lang w:eastAsia="nl-NL"/>
              </w:rPr>
            </w:pPr>
            <w:r w:rsidRPr="002A7505">
              <w:rPr>
                <w:rFonts w:ascii="Arial" w:eastAsia="Times New Roman" w:hAnsi="Arial" w:cs="Arial"/>
                <w:sz w:val="16"/>
                <w:szCs w:val="16"/>
                <w:lang w:eastAsia="nl-NL"/>
              </w:rPr>
              <w:t>1</w:t>
            </w:r>
          </w:p>
        </w:tc>
        <w:tc>
          <w:tcPr>
            <w:tcW w:w="3119" w:type="dxa"/>
            <w:tcBorders>
              <w:top w:val="nil"/>
              <w:left w:val="nil"/>
              <w:bottom w:val="nil"/>
              <w:right w:val="nil"/>
            </w:tcBorders>
            <w:shd w:val="clear" w:color="DCE6F1" w:fill="DCE6F1"/>
            <w:noWrap/>
            <w:vAlign w:val="bottom"/>
            <w:hideMark/>
          </w:tcPr>
          <w:p w:rsidR="008E03D4" w:rsidRDefault="008E03D4" w:rsidP="00B06327">
            <w:pPr>
              <w:rPr>
                <w:rFonts w:ascii="Arial" w:eastAsia="Times New Roman" w:hAnsi="Arial" w:cs="Arial"/>
                <w:sz w:val="16"/>
                <w:szCs w:val="16"/>
                <w:lang w:eastAsia="nl-NL"/>
              </w:rPr>
            </w:pPr>
          </w:p>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Strandeiland IJburg</w:t>
            </w:r>
          </w:p>
        </w:tc>
        <w:tc>
          <w:tcPr>
            <w:tcW w:w="1134"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30</w:t>
            </w:r>
            <w:r w:rsidR="002A7505" w:rsidRPr="002A7505">
              <w:rPr>
                <w:rFonts w:ascii="Arial" w:eastAsia="Times New Roman" w:hAnsi="Arial" w:cs="Arial"/>
                <w:sz w:val="16"/>
                <w:szCs w:val="16"/>
                <w:lang w:eastAsia="nl-NL"/>
              </w:rPr>
              <w:t xml:space="preserve"> januari</w:t>
            </w:r>
          </w:p>
        </w:tc>
        <w:tc>
          <w:tcPr>
            <w:tcW w:w="1435"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Woningbouw</w:t>
            </w:r>
          </w:p>
        </w:tc>
        <w:tc>
          <w:tcPr>
            <w:tcW w:w="1476"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Amsterdam</w:t>
            </w:r>
          </w:p>
        </w:tc>
        <w:tc>
          <w:tcPr>
            <w:tcW w:w="1802"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Amsterdam</w:t>
            </w:r>
          </w:p>
        </w:tc>
        <w:tc>
          <w:tcPr>
            <w:tcW w:w="1995"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Vechtstreek (raakvlak)</w:t>
            </w:r>
          </w:p>
        </w:tc>
        <w:tc>
          <w:tcPr>
            <w:tcW w:w="2611" w:type="dxa"/>
            <w:tcBorders>
              <w:top w:val="nil"/>
              <w:left w:val="nil"/>
              <w:bottom w:val="nil"/>
              <w:right w:val="nil"/>
            </w:tcBorders>
            <w:shd w:val="clear" w:color="DCE6F1" w:fill="DCE6F1"/>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Kritisch met a</w:t>
            </w:r>
            <w:r w:rsidR="008E03D4">
              <w:rPr>
                <w:rFonts w:ascii="Arial" w:eastAsia="Times New Roman" w:hAnsi="Arial" w:cs="Arial"/>
                <w:sz w:val="16"/>
                <w:szCs w:val="16"/>
                <w:lang w:eastAsia="nl-NL"/>
              </w:rPr>
              <w:t xml:space="preserve">anbevelingen </w:t>
            </w:r>
          </w:p>
        </w:tc>
        <w:tc>
          <w:tcPr>
            <w:tcW w:w="1390" w:type="dxa"/>
            <w:tcBorders>
              <w:top w:val="nil"/>
              <w:left w:val="nil"/>
              <w:bottom w:val="nil"/>
              <w:right w:val="nil"/>
            </w:tcBorders>
            <w:shd w:val="clear" w:color="DCE6F1" w:fill="DCE6F1"/>
            <w:noWrap/>
            <w:vAlign w:val="bottom"/>
            <w:hideMark/>
          </w:tcPr>
          <w:p w:rsidR="002A7505" w:rsidRPr="002A7505" w:rsidRDefault="00462F87" w:rsidP="00B06327">
            <w:pPr>
              <w:rPr>
                <w:rFonts w:ascii="Arial" w:eastAsia="Times New Roman" w:hAnsi="Arial" w:cs="Arial"/>
                <w:sz w:val="16"/>
                <w:szCs w:val="16"/>
                <w:lang w:eastAsia="nl-NL"/>
              </w:rPr>
            </w:pPr>
            <w:r>
              <w:rPr>
                <w:rFonts w:ascii="Arial" w:eastAsia="Times New Roman" w:hAnsi="Arial" w:cs="Arial"/>
                <w:sz w:val="16"/>
                <w:szCs w:val="16"/>
                <w:lang w:eastAsia="nl-NL"/>
              </w:rPr>
              <w:t>n.v.t.</w:t>
            </w:r>
          </w:p>
        </w:tc>
      </w:tr>
      <w:tr w:rsidR="002A7505" w:rsidRPr="002A7505" w:rsidTr="0012446B">
        <w:trPr>
          <w:trHeight w:val="255"/>
        </w:trPr>
        <w:tc>
          <w:tcPr>
            <w:tcW w:w="471" w:type="dxa"/>
            <w:tcBorders>
              <w:top w:val="nil"/>
              <w:left w:val="nil"/>
              <w:bottom w:val="nil"/>
              <w:right w:val="nil"/>
            </w:tcBorders>
            <w:shd w:val="clear" w:color="auto" w:fill="auto"/>
            <w:noWrap/>
            <w:vAlign w:val="bottom"/>
            <w:hideMark/>
          </w:tcPr>
          <w:p w:rsidR="00A43D7C" w:rsidRDefault="00A43D7C" w:rsidP="00B06327">
            <w:pPr>
              <w:jc w:val="right"/>
              <w:rPr>
                <w:rFonts w:ascii="Arial" w:eastAsia="Times New Roman" w:hAnsi="Arial" w:cs="Arial"/>
                <w:sz w:val="16"/>
                <w:szCs w:val="16"/>
                <w:lang w:eastAsia="nl-NL"/>
              </w:rPr>
            </w:pPr>
          </w:p>
          <w:p w:rsidR="00F55662" w:rsidRDefault="00F55662" w:rsidP="00B06327">
            <w:pPr>
              <w:jc w:val="right"/>
              <w:rPr>
                <w:rFonts w:ascii="Arial" w:eastAsia="Times New Roman" w:hAnsi="Arial" w:cs="Arial"/>
                <w:sz w:val="16"/>
                <w:szCs w:val="16"/>
                <w:lang w:eastAsia="nl-NL"/>
              </w:rPr>
            </w:pPr>
          </w:p>
          <w:p w:rsidR="002A7505" w:rsidRPr="002A7505" w:rsidRDefault="002A7505" w:rsidP="00B06327">
            <w:pPr>
              <w:jc w:val="right"/>
              <w:rPr>
                <w:rFonts w:ascii="Arial" w:eastAsia="Times New Roman" w:hAnsi="Arial" w:cs="Arial"/>
                <w:sz w:val="16"/>
                <w:szCs w:val="16"/>
                <w:lang w:eastAsia="nl-NL"/>
              </w:rPr>
            </w:pPr>
            <w:r w:rsidRPr="002A7505">
              <w:rPr>
                <w:rFonts w:ascii="Arial" w:eastAsia="Times New Roman" w:hAnsi="Arial" w:cs="Arial"/>
                <w:sz w:val="16"/>
                <w:szCs w:val="16"/>
                <w:lang w:eastAsia="nl-NL"/>
              </w:rPr>
              <w:t>2</w:t>
            </w:r>
          </w:p>
        </w:tc>
        <w:tc>
          <w:tcPr>
            <w:tcW w:w="3119" w:type="dxa"/>
            <w:tcBorders>
              <w:top w:val="nil"/>
              <w:left w:val="nil"/>
              <w:bottom w:val="nil"/>
              <w:right w:val="nil"/>
            </w:tcBorders>
            <w:shd w:val="clear" w:color="auto" w:fill="auto"/>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Veluweweg 44 Waarland</w:t>
            </w:r>
          </w:p>
        </w:tc>
        <w:tc>
          <w:tcPr>
            <w:tcW w:w="1134" w:type="dxa"/>
            <w:tcBorders>
              <w:top w:val="nil"/>
              <w:left w:val="nil"/>
              <w:bottom w:val="nil"/>
              <w:right w:val="nil"/>
            </w:tcBorders>
            <w:shd w:val="clear" w:color="auto" w:fill="auto"/>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22 mei</w:t>
            </w:r>
          </w:p>
        </w:tc>
        <w:tc>
          <w:tcPr>
            <w:tcW w:w="1435" w:type="dxa"/>
            <w:tcBorders>
              <w:top w:val="nil"/>
              <w:left w:val="nil"/>
              <w:bottom w:val="nil"/>
              <w:right w:val="nil"/>
            </w:tcBorders>
            <w:shd w:val="clear" w:color="auto" w:fill="auto"/>
            <w:noWrap/>
            <w:vAlign w:val="bottom"/>
            <w:hideMark/>
          </w:tcPr>
          <w:p w:rsidR="002A7505" w:rsidRPr="002A7505" w:rsidRDefault="002A7505" w:rsidP="00B06327">
            <w:pPr>
              <w:rPr>
                <w:rFonts w:ascii="Arial" w:eastAsia="Times New Roman" w:hAnsi="Arial" w:cs="Arial"/>
                <w:sz w:val="16"/>
                <w:szCs w:val="16"/>
                <w:lang w:eastAsia="nl-NL"/>
              </w:rPr>
            </w:pPr>
            <w:r w:rsidRPr="002A7505">
              <w:rPr>
                <w:rFonts w:ascii="Arial" w:eastAsia="Times New Roman" w:hAnsi="Arial" w:cs="Arial"/>
                <w:sz w:val="16"/>
                <w:szCs w:val="16"/>
                <w:lang w:eastAsia="nl-NL"/>
              </w:rPr>
              <w:t>Woningbouw</w:t>
            </w:r>
          </w:p>
        </w:tc>
        <w:tc>
          <w:tcPr>
            <w:tcW w:w="1476" w:type="dxa"/>
            <w:tcBorders>
              <w:top w:val="nil"/>
              <w:left w:val="nil"/>
              <w:bottom w:val="nil"/>
              <w:right w:val="nil"/>
            </w:tcBorders>
            <w:shd w:val="clear" w:color="auto" w:fill="auto"/>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Schagen</w:t>
            </w:r>
          </w:p>
        </w:tc>
        <w:tc>
          <w:tcPr>
            <w:tcW w:w="1802" w:type="dxa"/>
            <w:tcBorders>
              <w:top w:val="nil"/>
              <w:left w:val="nil"/>
              <w:bottom w:val="nil"/>
              <w:right w:val="nil"/>
            </w:tcBorders>
            <w:shd w:val="clear" w:color="auto" w:fill="auto"/>
            <w:noWrap/>
            <w:vAlign w:val="bottom"/>
            <w:hideMark/>
          </w:tcPr>
          <w:p w:rsidR="002A7505" w:rsidRPr="002A7505" w:rsidRDefault="008C0E89" w:rsidP="008C0E89">
            <w:pPr>
              <w:rPr>
                <w:rFonts w:ascii="Arial" w:eastAsia="Times New Roman" w:hAnsi="Arial" w:cs="Arial"/>
                <w:sz w:val="16"/>
                <w:szCs w:val="16"/>
                <w:lang w:eastAsia="nl-NL"/>
              </w:rPr>
            </w:pPr>
            <w:r>
              <w:rPr>
                <w:rFonts w:ascii="Arial" w:eastAsia="Times New Roman" w:hAnsi="Arial" w:cs="Arial"/>
                <w:sz w:val="16"/>
                <w:szCs w:val="16"/>
                <w:lang w:eastAsia="nl-NL"/>
              </w:rPr>
              <w:t>Kop van Noord-Holland</w:t>
            </w:r>
          </w:p>
        </w:tc>
        <w:tc>
          <w:tcPr>
            <w:tcW w:w="1995" w:type="dxa"/>
            <w:tcBorders>
              <w:top w:val="nil"/>
              <w:left w:val="nil"/>
              <w:bottom w:val="nil"/>
              <w:right w:val="nil"/>
            </w:tcBorders>
            <w:shd w:val="clear" w:color="auto" w:fill="auto"/>
            <w:noWrap/>
            <w:vAlign w:val="bottom"/>
            <w:hideMark/>
          </w:tcPr>
          <w:p w:rsidR="002A7505" w:rsidRPr="002A7505" w:rsidRDefault="00AA2CEB" w:rsidP="00B06327">
            <w:pPr>
              <w:rPr>
                <w:rFonts w:ascii="Arial" w:eastAsia="Times New Roman" w:hAnsi="Arial" w:cs="Arial"/>
                <w:sz w:val="16"/>
                <w:szCs w:val="16"/>
                <w:lang w:eastAsia="nl-NL"/>
              </w:rPr>
            </w:pPr>
            <w:r>
              <w:rPr>
                <w:rFonts w:ascii="Arial" w:eastAsia="Times New Roman" w:hAnsi="Arial" w:cs="Arial"/>
                <w:sz w:val="16"/>
                <w:szCs w:val="16"/>
                <w:lang w:eastAsia="nl-NL"/>
              </w:rPr>
              <w:t>West-Friesland West</w:t>
            </w:r>
          </w:p>
        </w:tc>
        <w:tc>
          <w:tcPr>
            <w:tcW w:w="2611" w:type="dxa"/>
            <w:tcBorders>
              <w:top w:val="nil"/>
              <w:left w:val="nil"/>
              <w:bottom w:val="nil"/>
              <w:right w:val="nil"/>
            </w:tcBorders>
            <w:shd w:val="clear" w:color="auto" w:fill="auto"/>
            <w:noWrap/>
            <w:vAlign w:val="bottom"/>
            <w:hideMark/>
          </w:tcPr>
          <w:p w:rsidR="002A7505" w:rsidRPr="002A7505" w:rsidRDefault="008E03D4" w:rsidP="00B06327">
            <w:pPr>
              <w:rPr>
                <w:rFonts w:ascii="Arial" w:eastAsia="Times New Roman" w:hAnsi="Arial" w:cs="Arial"/>
                <w:sz w:val="16"/>
                <w:szCs w:val="16"/>
                <w:lang w:eastAsia="nl-NL"/>
              </w:rPr>
            </w:pPr>
            <w:r>
              <w:rPr>
                <w:rFonts w:ascii="Arial" w:eastAsia="Times New Roman" w:hAnsi="Arial" w:cs="Arial"/>
                <w:sz w:val="16"/>
                <w:szCs w:val="16"/>
                <w:lang w:eastAsia="nl-NL"/>
              </w:rPr>
              <w:t>Positief met aanbevelingen</w:t>
            </w:r>
          </w:p>
        </w:tc>
        <w:tc>
          <w:tcPr>
            <w:tcW w:w="1390" w:type="dxa"/>
            <w:tcBorders>
              <w:top w:val="nil"/>
              <w:left w:val="nil"/>
              <w:bottom w:val="nil"/>
              <w:right w:val="nil"/>
            </w:tcBorders>
            <w:shd w:val="clear" w:color="auto" w:fill="auto"/>
            <w:noWrap/>
            <w:vAlign w:val="bottom"/>
            <w:hideMark/>
          </w:tcPr>
          <w:p w:rsidR="002A7505" w:rsidRPr="002A7505" w:rsidRDefault="00462F87" w:rsidP="00B06327">
            <w:pPr>
              <w:rPr>
                <w:rFonts w:ascii="Arial" w:eastAsia="Times New Roman" w:hAnsi="Arial" w:cs="Arial"/>
                <w:sz w:val="16"/>
                <w:szCs w:val="16"/>
                <w:lang w:eastAsia="nl-NL"/>
              </w:rPr>
            </w:pPr>
            <w:r>
              <w:rPr>
                <w:rFonts w:ascii="Arial" w:eastAsia="Times New Roman" w:hAnsi="Arial" w:cs="Arial"/>
                <w:sz w:val="16"/>
                <w:szCs w:val="16"/>
                <w:lang w:eastAsia="nl-NL"/>
              </w:rPr>
              <w:t>n.v.t.</w:t>
            </w:r>
          </w:p>
        </w:tc>
      </w:tr>
      <w:tr w:rsidR="00F32E3A" w:rsidRPr="002A7505" w:rsidTr="0012446B">
        <w:trPr>
          <w:trHeight w:val="255"/>
        </w:trPr>
        <w:tc>
          <w:tcPr>
            <w:tcW w:w="471" w:type="dxa"/>
            <w:tcBorders>
              <w:top w:val="nil"/>
              <w:left w:val="nil"/>
              <w:bottom w:val="nil"/>
              <w:right w:val="nil"/>
            </w:tcBorders>
            <w:shd w:val="clear" w:color="DCE6F1" w:fill="DCE6F1"/>
            <w:noWrap/>
            <w:vAlign w:val="bottom"/>
          </w:tcPr>
          <w:p w:rsidR="00B06327" w:rsidRDefault="00B06327" w:rsidP="00B06327">
            <w:pPr>
              <w:jc w:val="right"/>
              <w:rPr>
                <w:rFonts w:ascii="Arial" w:eastAsia="Times New Roman" w:hAnsi="Arial" w:cs="Arial"/>
                <w:sz w:val="16"/>
                <w:szCs w:val="16"/>
                <w:lang w:eastAsia="nl-NL"/>
              </w:rPr>
            </w:pPr>
          </w:p>
          <w:p w:rsidR="00B06327" w:rsidRDefault="00B06327" w:rsidP="00B06327">
            <w:pPr>
              <w:jc w:val="right"/>
              <w:rPr>
                <w:rFonts w:ascii="Arial" w:eastAsia="Times New Roman" w:hAnsi="Arial" w:cs="Arial"/>
                <w:sz w:val="16"/>
                <w:szCs w:val="16"/>
                <w:lang w:eastAsia="nl-NL"/>
              </w:rPr>
            </w:pPr>
          </w:p>
          <w:p w:rsidR="00F32E3A" w:rsidRDefault="00B06327" w:rsidP="00B06327">
            <w:pPr>
              <w:jc w:val="right"/>
              <w:rPr>
                <w:rFonts w:ascii="Arial" w:eastAsia="Times New Roman" w:hAnsi="Arial" w:cs="Arial"/>
                <w:sz w:val="16"/>
                <w:szCs w:val="16"/>
                <w:lang w:eastAsia="nl-NL"/>
              </w:rPr>
            </w:pPr>
            <w:r>
              <w:rPr>
                <w:rFonts w:ascii="Arial" w:eastAsia="Times New Roman" w:hAnsi="Arial" w:cs="Arial"/>
                <w:sz w:val="16"/>
                <w:szCs w:val="16"/>
                <w:lang w:eastAsia="nl-NL"/>
              </w:rPr>
              <w:t>3</w:t>
            </w:r>
          </w:p>
        </w:tc>
        <w:tc>
          <w:tcPr>
            <w:tcW w:w="3119" w:type="dxa"/>
            <w:tcBorders>
              <w:top w:val="nil"/>
              <w:left w:val="nil"/>
              <w:bottom w:val="nil"/>
              <w:right w:val="nil"/>
            </w:tcBorders>
            <w:shd w:val="clear" w:color="DCE6F1" w:fill="DCE6F1"/>
            <w:noWrap/>
            <w:vAlign w:val="bottom"/>
          </w:tcPr>
          <w:p w:rsidR="008E03D4" w:rsidRPr="004B4960" w:rsidRDefault="00B06327" w:rsidP="00B06327">
            <w:pPr>
              <w:rPr>
                <w:rFonts w:ascii="Arial" w:eastAsia="Times New Roman" w:hAnsi="Arial" w:cs="Arial"/>
                <w:sz w:val="16"/>
                <w:szCs w:val="16"/>
                <w:lang w:eastAsia="nl-NL"/>
              </w:rPr>
            </w:pPr>
            <w:proofErr w:type="spellStart"/>
            <w:r>
              <w:rPr>
                <w:rFonts w:ascii="Arial" w:eastAsia="Times New Roman" w:hAnsi="Arial" w:cs="Arial"/>
                <w:sz w:val="16"/>
                <w:szCs w:val="16"/>
                <w:lang w:eastAsia="nl-NL"/>
              </w:rPr>
              <w:t>Remmerdel</w:t>
            </w:r>
            <w:proofErr w:type="spellEnd"/>
            <w:r>
              <w:rPr>
                <w:rFonts w:ascii="Arial" w:eastAsia="Times New Roman" w:hAnsi="Arial" w:cs="Arial"/>
                <w:sz w:val="16"/>
                <w:szCs w:val="16"/>
                <w:lang w:eastAsia="nl-NL"/>
              </w:rPr>
              <w:t xml:space="preserve"> Warmenhuizen</w:t>
            </w:r>
          </w:p>
        </w:tc>
        <w:tc>
          <w:tcPr>
            <w:tcW w:w="1134" w:type="dxa"/>
            <w:tcBorders>
              <w:top w:val="nil"/>
              <w:left w:val="nil"/>
              <w:bottom w:val="nil"/>
              <w:right w:val="nil"/>
            </w:tcBorders>
            <w:shd w:val="clear" w:color="DCE6F1" w:fill="DCE6F1"/>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30 oktober</w:t>
            </w:r>
          </w:p>
        </w:tc>
        <w:tc>
          <w:tcPr>
            <w:tcW w:w="1435" w:type="dxa"/>
            <w:tcBorders>
              <w:top w:val="nil"/>
              <w:left w:val="nil"/>
              <w:bottom w:val="nil"/>
              <w:right w:val="nil"/>
            </w:tcBorders>
            <w:shd w:val="clear" w:color="DCE6F1" w:fill="DCE6F1"/>
            <w:noWrap/>
            <w:vAlign w:val="bottom"/>
          </w:tcPr>
          <w:p w:rsidR="00AA2CEB"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Woningbouw</w:t>
            </w:r>
          </w:p>
        </w:tc>
        <w:tc>
          <w:tcPr>
            <w:tcW w:w="1476" w:type="dxa"/>
            <w:tcBorders>
              <w:top w:val="nil"/>
              <w:left w:val="nil"/>
              <w:bottom w:val="nil"/>
              <w:right w:val="nil"/>
            </w:tcBorders>
            <w:shd w:val="clear" w:color="DCE6F1" w:fill="DCE6F1"/>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Schagen</w:t>
            </w:r>
          </w:p>
        </w:tc>
        <w:tc>
          <w:tcPr>
            <w:tcW w:w="1802" w:type="dxa"/>
            <w:tcBorders>
              <w:top w:val="nil"/>
              <w:left w:val="nil"/>
              <w:bottom w:val="nil"/>
              <w:right w:val="nil"/>
            </w:tcBorders>
            <w:shd w:val="clear" w:color="DCE6F1" w:fill="DCE6F1"/>
            <w:noWrap/>
            <w:vAlign w:val="bottom"/>
          </w:tcPr>
          <w:p w:rsidR="00F32E3A" w:rsidRDefault="008C0E89" w:rsidP="00B06327">
            <w:pPr>
              <w:rPr>
                <w:rFonts w:ascii="Arial" w:eastAsia="Times New Roman" w:hAnsi="Arial" w:cs="Arial"/>
                <w:sz w:val="16"/>
                <w:szCs w:val="16"/>
                <w:lang w:eastAsia="nl-NL"/>
              </w:rPr>
            </w:pPr>
            <w:r>
              <w:rPr>
                <w:rFonts w:ascii="Arial" w:eastAsia="Times New Roman" w:hAnsi="Arial" w:cs="Arial"/>
                <w:sz w:val="16"/>
                <w:szCs w:val="16"/>
                <w:lang w:eastAsia="nl-NL"/>
              </w:rPr>
              <w:t>Kop van Noord-Holland</w:t>
            </w:r>
          </w:p>
        </w:tc>
        <w:tc>
          <w:tcPr>
            <w:tcW w:w="1995" w:type="dxa"/>
            <w:tcBorders>
              <w:top w:val="nil"/>
              <w:left w:val="nil"/>
              <w:bottom w:val="nil"/>
              <w:right w:val="nil"/>
            </w:tcBorders>
            <w:shd w:val="clear" w:color="DCE6F1" w:fill="DCE6F1"/>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West-Friesland West</w:t>
            </w:r>
          </w:p>
        </w:tc>
        <w:tc>
          <w:tcPr>
            <w:tcW w:w="2611" w:type="dxa"/>
            <w:tcBorders>
              <w:top w:val="nil"/>
              <w:left w:val="nil"/>
              <w:bottom w:val="nil"/>
              <w:right w:val="nil"/>
            </w:tcBorders>
            <w:shd w:val="clear" w:color="DCE6F1" w:fill="DCE6F1"/>
            <w:noWrap/>
            <w:vAlign w:val="bottom"/>
          </w:tcPr>
          <w:p w:rsidR="00F32E3A" w:rsidRDefault="001F552F" w:rsidP="001F552F">
            <w:pPr>
              <w:rPr>
                <w:rFonts w:ascii="Arial" w:eastAsia="Times New Roman" w:hAnsi="Arial" w:cs="Arial"/>
                <w:sz w:val="16"/>
                <w:szCs w:val="16"/>
                <w:lang w:eastAsia="nl-NL"/>
              </w:rPr>
            </w:pPr>
            <w:r>
              <w:rPr>
                <w:rFonts w:ascii="Arial" w:eastAsia="Times New Roman" w:hAnsi="Arial" w:cs="Arial"/>
                <w:sz w:val="16"/>
                <w:szCs w:val="16"/>
                <w:lang w:eastAsia="nl-NL"/>
              </w:rPr>
              <w:t>A</w:t>
            </w:r>
            <w:r w:rsidR="00B06327">
              <w:rPr>
                <w:rFonts w:ascii="Arial" w:eastAsia="Times New Roman" w:hAnsi="Arial" w:cs="Arial"/>
                <w:sz w:val="16"/>
                <w:szCs w:val="16"/>
                <w:lang w:eastAsia="nl-NL"/>
              </w:rPr>
              <w:t>anbevelingen</w:t>
            </w:r>
          </w:p>
        </w:tc>
        <w:tc>
          <w:tcPr>
            <w:tcW w:w="1390" w:type="dxa"/>
            <w:tcBorders>
              <w:top w:val="nil"/>
              <w:left w:val="nil"/>
              <w:bottom w:val="nil"/>
              <w:right w:val="nil"/>
            </w:tcBorders>
            <w:shd w:val="clear" w:color="DCE6F1" w:fill="DCE6F1"/>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n.v.t.</w:t>
            </w:r>
          </w:p>
        </w:tc>
      </w:tr>
      <w:tr w:rsidR="00F32E3A" w:rsidRPr="002A7505" w:rsidTr="008E03D4">
        <w:trPr>
          <w:trHeight w:val="255"/>
        </w:trPr>
        <w:tc>
          <w:tcPr>
            <w:tcW w:w="471" w:type="dxa"/>
            <w:tcBorders>
              <w:top w:val="nil"/>
              <w:left w:val="nil"/>
              <w:bottom w:val="nil"/>
              <w:right w:val="nil"/>
            </w:tcBorders>
            <w:shd w:val="clear" w:color="auto" w:fill="auto"/>
            <w:noWrap/>
            <w:vAlign w:val="bottom"/>
          </w:tcPr>
          <w:p w:rsidR="00F32E3A" w:rsidRDefault="00F32E3A" w:rsidP="00B06327">
            <w:pPr>
              <w:jc w:val="right"/>
              <w:rPr>
                <w:rFonts w:ascii="Arial" w:eastAsia="Times New Roman" w:hAnsi="Arial" w:cs="Arial"/>
                <w:sz w:val="16"/>
                <w:szCs w:val="16"/>
                <w:lang w:eastAsia="nl-NL"/>
              </w:rPr>
            </w:pPr>
          </w:p>
          <w:p w:rsidR="00B06327" w:rsidRDefault="00B06327" w:rsidP="00B06327">
            <w:pPr>
              <w:jc w:val="right"/>
              <w:rPr>
                <w:rFonts w:ascii="Arial" w:eastAsia="Times New Roman" w:hAnsi="Arial" w:cs="Arial"/>
                <w:sz w:val="16"/>
                <w:szCs w:val="16"/>
                <w:lang w:eastAsia="nl-NL"/>
              </w:rPr>
            </w:pPr>
          </w:p>
          <w:p w:rsidR="00B06327" w:rsidRDefault="00B06327" w:rsidP="00B06327">
            <w:pPr>
              <w:jc w:val="right"/>
              <w:rPr>
                <w:rFonts w:ascii="Arial" w:eastAsia="Times New Roman" w:hAnsi="Arial" w:cs="Arial"/>
                <w:sz w:val="16"/>
                <w:szCs w:val="16"/>
                <w:lang w:eastAsia="nl-NL"/>
              </w:rPr>
            </w:pPr>
            <w:r>
              <w:rPr>
                <w:rFonts w:ascii="Arial" w:eastAsia="Times New Roman" w:hAnsi="Arial" w:cs="Arial"/>
                <w:sz w:val="16"/>
                <w:szCs w:val="16"/>
                <w:lang w:eastAsia="nl-NL"/>
              </w:rPr>
              <w:t>4</w:t>
            </w:r>
          </w:p>
        </w:tc>
        <w:tc>
          <w:tcPr>
            <w:tcW w:w="3119"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Zonnepark De Doorbraak</w:t>
            </w:r>
          </w:p>
        </w:tc>
        <w:tc>
          <w:tcPr>
            <w:tcW w:w="1134"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30 oktober</w:t>
            </w:r>
          </w:p>
        </w:tc>
        <w:tc>
          <w:tcPr>
            <w:tcW w:w="1435"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Duurzame energie</w:t>
            </w:r>
          </w:p>
        </w:tc>
        <w:tc>
          <w:tcPr>
            <w:tcW w:w="1476"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Hollands Kroon</w:t>
            </w:r>
          </w:p>
        </w:tc>
        <w:tc>
          <w:tcPr>
            <w:tcW w:w="1802"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Kop van Noord-Holland</w:t>
            </w:r>
          </w:p>
        </w:tc>
        <w:tc>
          <w:tcPr>
            <w:tcW w:w="1995"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Koegras-Anna Paulownapolder</w:t>
            </w:r>
          </w:p>
        </w:tc>
        <w:tc>
          <w:tcPr>
            <w:tcW w:w="2611"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Kritisch met aanbevelingen</w:t>
            </w:r>
          </w:p>
        </w:tc>
        <w:tc>
          <w:tcPr>
            <w:tcW w:w="1390" w:type="dxa"/>
            <w:tcBorders>
              <w:top w:val="nil"/>
              <w:left w:val="nil"/>
              <w:bottom w:val="nil"/>
              <w:right w:val="nil"/>
            </w:tcBorders>
            <w:shd w:val="clear" w:color="auto" w:fill="auto"/>
            <w:noWrap/>
            <w:vAlign w:val="bottom"/>
          </w:tcPr>
          <w:p w:rsidR="00F32E3A" w:rsidRDefault="00B06327" w:rsidP="00B06327">
            <w:pPr>
              <w:rPr>
                <w:rFonts w:ascii="Arial" w:eastAsia="Times New Roman" w:hAnsi="Arial" w:cs="Arial"/>
                <w:sz w:val="16"/>
                <w:szCs w:val="16"/>
                <w:lang w:eastAsia="nl-NL"/>
              </w:rPr>
            </w:pPr>
            <w:r>
              <w:rPr>
                <w:rFonts w:ascii="Arial" w:eastAsia="Times New Roman" w:hAnsi="Arial" w:cs="Arial"/>
                <w:sz w:val="16"/>
                <w:szCs w:val="16"/>
                <w:lang w:eastAsia="nl-NL"/>
              </w:rPr>
              <w:t>n.v.t.</w:t>
            </w:r>
          </w:p>
        </w:tc>
      </w:tr>
      <w:tr w:rsidR="002A7505" w:rsidRPr="002A7505" w:rsidTr="0012446B">
        <w:trPr>
          <w:trHeight w:val="255"/>
        </w:trPr>
        <w:tc>
          <w:tcPr>
            <w:tcW w:w="471" w:type="dxa"/>
            <w:tcBorders>
              <w:top w:val="nil"/>
              <w:left w:val="nil"/>
              <w:bottom w:val="single" w:sz="4" w:space="0" w:color="4F81BD"/>
              <w:right w:val="nil"/>
            </w:tcBorders>
            <w:shd w:val="clear" w:color="auto" w:fill="auto"/>
            <w:noWrap/>
            <w:vAlign w:val="bottom"/>
          </w:tcPr>
          <w:p w:rsidR="002A7505" w:rsidRPr="002A7505" w:rsidRDefault="002A7505" w:rsidP="00B06327">
            <w:pPr>
              <w:jc w:val="right"/>
              <w:rPr>
                <w:rFonts w:ascii="Arial" w:eastAsia="Times New Roman" w:hAnsi="Arial" w:cs="Arial"/>
                <w:sz w:val="16"/>
                <w:szCs w:val="16"/>
                <w:lang w:eastAsia="nl-NL"/>
              </w:rPr>
            </w:pPr>
          </w:p>
        </w:tc>
        <w:tc>
          <w:tcPr>
            <w:tcW w:w="3119"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134"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435"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476"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802"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995"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2611"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c>
          <w:tcPr>
            <w:tcW w:w="1390" w:type="dxa"/>
            <w:tcBorders>
              <w:top w:val="nil"/>
              <w:left w:val="nil"/>
              <w:bottom w:val="single" w:sz="4" w:space="0" w:color="4F81BD"/>
              <w:right w:val="nil"/>
            </w:tcBorders>
            <w:shd w:val="clear" w:color="auto" w:fill="auto"/>
            <w:noWrap/>
            <w:vAlign w:val="bottom"/>
          </w:tcPr>
          <w:p w:rsidR="002A7505" w:rsidRPr="002A7505" w:rsidRDefault="002A7505" w:rsidP="00B06327">
            <w:pPr>
              <w:rPr>
                <w:rFonts w:ascii="Arial" w:eastAsia="Times New Roman" w:hAnsi="Arial" w:cs="Arial"/>
                <w:sz w:val="16"/>
                <w:szCs w:val="16"/>
                <w:lang w:eastAsia="nl-NL"/>
              </w:rPr>
            </w:pPr>
          </w:p>
        </w:tc>
      </w:tr>
    </w:tbl>
    <w:p w:rsidR="002A7505" w:rsidRDefault="002A7505" w:rsidP="00B06327">
      <w:pPr>
        <w:rPr>
          <w:b/>
          <w:sz w:val="28"/>
          <w:szCs w:val="28"/>
        </w:rPr>
        <w:sectPr w:rsidR="002A7505" w:rsidSect="0078161C">
          <w:type w:val="continuous"/>
          <w:pgSz w:w="16838" w:h="11906" w:orient="landscape"/>
          <w:pgMar w:top="993" w:right="1417" w:bottom="567" w:left="1417" w:header="708" w:footer="708" w:gutter="0"/>
          <w:cols w:space="708"/>
          <w:docGrid w:linePitch="360"/>
        </w:sectPr>
      </w:pPr>
    </w:p>
    <w:p w:rsidR="002A7505" w:rsidRPr="002A7505" w:rsidRDefault="002A7505" w:rsidP="00B06327">
      <w:pPr>
        <w:rPr>
          <w:b/>
          <w:sz w:val="28"/>
          <w:szCs w:val="28"/>
        </w:rPr>
      </w:pPr>
    </w:p>
    <w:sectPr w:rsidR="002A7505" w:rsidRPr="002A7505" w:rsidSect="002A7505">
      <w:type w:val="continuous"/>
      <w:pgSz w:w="16838" w:h="11906" w:orient="landscape"/>
      <w:pgMar w:top="1276"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6A9D"/>
    <w:multiLevelType w:val="hybridMultilevel"/>
    <w:tmpl w:val="4C1640F2"/>
    <w:lvl w:ilvl="0" w:tplc="F026778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9504AE"/>
    <w:multiLevelType w:val="hybridMultilevel"/>
    <w:tmpl w:val="3DA8BB0A"/>
    <w:lvl w:ilvl="0" w:tplc="3DC62AA4">
      <w:start w:val="8"/>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47"/>
    <w:rsid w:val="00046E7E"/>
    <w:rsid w:val="00051DCC"/>
    <w:rsid w:val="000815DB"/>
    <w:rsid w:val="000A0CA4"/>
    <w:rsid w:val="000C2263"/>
    <w:rsid w:val="000E0C48"/>
    <w:rsid w:val="000F33A3"/>
    <w:rsid w:val="0011168E"/>
    <w:rsid w:val="00121B67"/>
    <w:rsid w:val="0012446B"/>
    <w:rsid w:val="00133BE0"/>
    <w:rsid w:val="00162F4D"/>
    <w:rsid w:val="00180AE8"/>
    <w:rsid w:val="001A4058"/>
    <w:rsid w:val="001A5C46"/>
    <w:rsid w:val="001B4E47"/>
    <w:rsid w:val="001B6AB3"/>
    <w:rsid w:val="001E4A62"/>
    <w:rsid w:val="001E73C8"/>
    <w:rsid w:val="001F0511"/>
    <w:rsid w:val="001F552F"/>
    <w:rsid w:val="002013C3"/>
    <w:rsid w:val="00213CC3"/>
    <w:rsid w:val="00272B82"/>
    <w:rsid w:val="002A7505"/>
    <w:rsid w:val="003064B7"/>
    <w:rsid w:val="00322BDB"/>
    <w:rsid w:val="00350D88"/>
    <w:rsid w:val="003A2421"/>
    <w:rsid w:val="003D14E2"/>
    <w:rsid w:val="00410955"/>
    <w:rsid w:val="00447D08"/>
    <w:rsid w:val="00462F87"/>
    <w:rsid w:val="00470BEC"/>
    <w:rsid w:val="004B4960"/>
    <w:rsid w:val="004D6310"/>
    <w:rsid w:val="004E670C"/>
    <w:rsid w:val="005002FF"/>
    <w:rsid w:val="005063F1"/>
    <w:rsid w:val="005252C5"/>
    <w:rsid w:val="00551915"/>
    <w:rsid w:val="0056322D"/>
    <w:rsid w:val="0056606C"/>
    <w:rsid w:val="005A4D7B"/>
    <w:rsid w:val="005F7B68"/>
    <w:rsid w:val="00613629"/>
    <w:rsid w:val="00622D4A"/>
    <w:rsid w:val="006635F8"/>
    <w:rsid w:val="006C4DB9"/>
    <w:rsid w:val="006C68E8"/>
    <w:rsid w:val="00702489"/>
    <w:rsid w:val="007060D0"/>
    <w:rsid w:val="00740F15"/>
    <w:rsid w:val="00744160"/>
    <w:rsid w:val="0078161C"/>
    <w:rsid w:val="007A6D2F"/>
    <w:rsid w:val="00826D19"/>
    <w:rsid w:val="0082791D"/>
    <w:rsid w:val="00840E99"/>
    <w:rsid w:val="00845B72"/>
    <w:rsid w:val="00880ABD"/>
    <w:rsid w:val="008B42D5"/>
    <w:rsid w:val="008C0E89"/>
    <w:rsid w:val="008C1219"/>
    <w:rsid w:val="008E03D4"/>
    <w:rsid w:val="00934969"/>
    <w:rsid w:val="00937DB7"/>
    <w:rsid w:val="00970450"/>
    <w:rsid w:val="009712B0"/>
    <w:rsid w:val="009731A9"/>
    <w:rsid w:val="00984C11"/>
    <w:rsid w:val="00995D21"/>
    <w:rsid w:val="009C3924"/>
    <w:rsid w:val="009E04E7"/>
    <w:rsid w:val="009E1FC0"/>
    <w:rsid w:val="009F3290"/>
    <w:rsid w:val="00A43D7C"/>
    <w:rsid w:val="00A5463E"/>
    <w:rsid w:val="00A61D23"/>
    <w:rsid w:val="00A830F3"/>
    <w:rsid w:val="00A86713"/>
    <w:rsid w:val="00AA2CEB"/>
    <w:rsid w:val="00AC474C"/>
    <w:rsid w:val="00B01961"/>
    <w:rsid w:val="00B06327"/>
    <w:rsid w:val="00B12D62"/>
    <w:rsid w:val="00B147BE"/>
    <w:rsid w:val="00B44DD6"/>
    <w:rsid w:val="00B45172"/>
    <w:rsid w:val="00B70C14"/>
    <w:rsid w:val="00B95F7F"/>
    <w:rsid w:val="00BD1A54"/>
    <w:rsid w:val="00BE14A7"/>
    <w:rsid w:val="00BF605F"/>
    <w:rsid w:val="00C01AF4"/>
    <w:rsid w:val="00C37612"/>
    <w:rsid w:val="00C40CC3"/>
    <w:rsid w:val="00C46956"/>
    <w:rsid w:val="00C5458F"/>
    <w:rsid w:val="00C57E69"/>
    <w:rsid w:val="00C71A69"/>
    <w:rsid w:val="00C83D6A"/>
    <w:rsid w:val="00C91E5E"/>
    <w:rsid w:val="00C941F9"/>
    <w:rsid w:val="00CE4471"/>
    <w:rsid w:val="00D35835"/>
    <w:rsid w:val="00D43F88"/>
    <w:rsid w:val="00D55897"/>
    <w:rsid w:val="00D91DE5"/>
    <w:rsid w:val="00DC50A2"/>
    <w:rsid w:val="00DC7874"/>
    <w:rsid w:val="00DE26B0"/>
    <w:rsid w:val="00DE77F8"/>
    <w:rsid w:val="00DF6737"/>
    <w:rsid w:val="00E2002F"/>
    <w:rsid w:val="00E249DF"/>
    <w:rsid w:val="00E50DFD"/>
    <w:rsid w:val="00E705B8"/>
    <w:rsid w:val="00E735D0"/>
    <w:rsid w:val="00E7599D"/>
    <w:rsid w:val="00EA4997"/>
    <w:rsid w:val="00EE27B4"/>
    <w:rsid w:val="00EE2EB5"/>
    <w:rsid w:val="00F177E3"/>
    <w:rsid w:val="00F32E3A"/>
    <w:rsid w:val="00F53271"/>
    <w:rsid w:val="00F55662"/>
    <w:rsid w:val="00F66E45"/>
    <w:rsid w:val="00FF0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8329"/>
  <w15:docId w15:val="{4982B5C3-AB2D-4220-BC23-B73C8EE3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E4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B4E47"/>
    <w:rPr>
      <w:color w:val="0000FF"/>
      <w:u w:val="single"/>
    </w:rPr>
  </w:style>
  <w:style w:type="paragraph" w:styleId="Geenafstand">
    <w:name w:val="No Spacing"/>
    <w:basedOn w:val="Standaard"/>
    <w:uiPriority w:val="1"/>
    <w:qFormat/>
    <w:rsid w:val="001B4E47"/>
  </w:style>
  <w:style w:type="paragraph" w:styleId="Ballontekst">
    <w:name w:val="Balloon Text"/>
    <w:basedOn w:val="Standaard"/>
    <w:link w:val="BallontekstChar"/>
    <w:uiPriority w:val="99"/>
    <w:semiHidden/>
    <w:unhideWhenUsed/>
    <w:rsid w:val="001B4E47"/>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E47"/>
    <w:rPr>
      <w:rFonts w:ascii="Tahoma" w:hAnsi="Tahoma" w:cs="Tahoma"/>
      <w:sz w:val="16"/>
      <w:szCs w:val="16"/>
    </w:rPr>
  </w:style>
  <w:style w:type="character" w:styleId="Verwijzingopmerking">
    <w:name w:val="annotation reference"/>
    <w:basedOn w:val="Standaardalinea-lettertype"/>
    <w:uiPriority w:val="99"/>
    <w:semiHidden/>
    <w:unhideWhenUsed/>
    <w:rsid w:val="00B01961"/>
    <w:rPr>
      <w:sz w:val="16"/>
      <w:szCs w:val="16"/>
    </w:rPr>
  </w:style>
  <w:style w:type="paragraph" w:styleId="Tekstopmerking">
    <w:name w:val="annotation text"/>
    <w:basedOn w:val="Standaard"/>
    <w:link w:val="TekstopmerkingChar"/>
    <w:uiPriority w:val="99"/>
    <w:semiHidden/>
    <w:unhideWhenUsed/>
    <w:rsid w:val="00B01961"/>
    <w:rPr>
      <w:sz w:val="20"/>
      <w:szCs w:val="20"/>
    </w:rPr>
  </w:style>
  <w:style w:type="character" w:customStyle="1" w:styleId="TekstopmerkingChar">
    <w:name w:val="Tekst opmerking Char"/>
    <w:basedOn w:val="Standaardalinea-lettertype"/>
    <w:link w:val="Tekstopmerking"/>
    <w:uiPriority w:val="99"/>
    <w:semiHidden/>
    <w:rsid w:val="00B01961"/>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01961"/>
    <w:rPr>
      <w:b/>
      <w:bCs/>
    </w:rPr>
  </w:style>
  <w:style w:type="character" w:customStyle="1" w:styleId="OnderwerpvanopmerkingChar">
    <w:name w:val="Onderwerp van opmerking Char"/>
    <w:basedOn w:val="TekstopmerkingChar"/>
    <w:link w:val="Onderwerpvanopmerking"/>
    <w:uiPriority w:val="99"/>
    <w:semiHidden/>
    <w:rsid w:val="00B0196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5732">
      <w:bodyDiv w:val="1"/>
      <w:marLeft w:val="0"/>
      <w:marRight w:val="0"/>
      <w:marTop w:val="0"/>
      <w:marBottom w:val="0"/>
      <w:divBdr>
        <w:top w:val="none" w:sz="0" w:space="0" w:color="auto"/>
        <w:left w:val="none" w:sz="0" w:space="0" w:color="auto"/>
        <w:bottom w:val="none" w:sz="0" w:space="0" w:color="auto"/>
        <w:right w:val="none" w:sz="0" w:space="0" w:color="auto"/>
      </w:divBdr>
    </w:div>
    <w:div w:id="204292803">
      <w:bodyDiv w:val="1"/>
      <w:marLeft w:val="0"/>
      <w:marRight w:val="0"/>
      <w:marTop w:val="0"/>
      <w:marBottom w:val="0"/>
      <w:divBdr>
        <w:top w:val="none" w:sz="0" w:space="0" w:color="auto"/>
        <w:left w:val="none" w:sz="0" w:space="0" w:color="auto"/>
        <w:bottom w:val="none" w:sz="0" w:space="0" w:color="auto"/>
        <w:right w:val="none" w:sz="0" w:space="0" w:color="auto"/>
      </w:divBdr>
    </w:div>
    <w:div w:id="537204413">
      <w:bodyDiv w:val="1"/>
      <w:marLeft w:val="0"/>
      <w:marRight w:val="0"/>
      <w:marTop w:val="0"/>
      <w:marBottom w:val="0"/>
      <w:divBdr>
        <w:top w:val="none" w:sz="0" w:space="0" w:color="auto"/>
        <w:left w:val="none" w:sz="0" w:space="0" w:color="auto"/>
        <w:bottom w:val="none" w:sz="0" w:space="0" w:color="auto"/>
        <w:right w:val="none" w:sz="0" w:space="0" w:color="auto"/>
      </w:divBdr>
    </w:div>
    <w:div w:id="6175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werkblad.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werkblad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werkblad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werkblad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werkblad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b="1">
                <a:solidFill>
                  <a:sysClr val="windowText" lastClr="000000"/>
                </a:solidFill>
              </a:rPr>
              <a:t>Aantal adviezen per vergadering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v>2018</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Blad1!$N$5:$N$13</c:f>
              <c:strCache>
                <c:ptCount val="9"/>
                <c:pt idx="0">
                  <c:v>jan</c:v>
                </c:pt>
                <c:pt idx="1">
                  <c:v>mrt</c:v>
                </c:pt>
                <c:pt idx="2">
                  <c:v>apr</c:v>
                </c:pt>
                <c:pt idx="3">
                  <c:v>mei</c:v>
                </c:pt>
                <c:pt idx="4">
                  <c:v>jul</c:v>
                </c:pt>
                <c:pt idx="5">
                  <c:v>sep</c:v>
                </c:pt>
                <c:pt idx="6">
                  <c:v>okt</c:v>
                </c:pt>
                <c:pt idx="7">
                  <c:v>nov</c:v>
                </c:pt>
                <c:pt idx="8">
                  <c:v>dec</c:v>
                </c:pt>
              </c:strCache>
            </c:strRef>
          </c:cat>
          <c:val>
            <c:numRef>
              <c:f>Blad1!$M$5:$M$13</c:f>
              <c:numCache>
                <c:formatCode>General</c:formatCode>
                <c:ptCount val="9"/>
                <c:pt idx="0">
                  <c:v>1</c:v>
                </c:pt>
                <c:pt idx="1">
                  <c:v>1</c:v>
                </c:pt>
                <c:pt idx="2">
                  <c:v>2</c:v>
                </c:pt>
                <c:pt idx="3">
                  <c:v>1</c:v>
                </c:pt>
                <c:pt idx="4">
                  <c:v>4</c:v>
                </c:pt>
                <c:pt idx="5">
                  <c:v>1</c:v>
                </c:pt>
                <c:pt idx="6">
                  <c:v>4</c:v>
                </c:pt>
                <c:pt idx="7">
                  <c:v>2</c:v>
                </c:pt>
                <c:pt idx="8">
                  <c:v>0</c:v>
                </c:pt>
              </c:numCache>
            </c:numRef>
          </c:val>
          <c:smooth val="0"/>
          <c:extLst>
            <c:ext xmlns:c16="http://schemas.microsoft.com/office/drawing/2014/chart" uri="{C3380CC4-5D6E-409C-BE32-E72D297353CC}">
              <c16:uniqueId val="{00000000-AEDD-4309-86D3-BE8809251FEC}"/>
            </c:ext>
          </c:extLst>
        </c:ser>
        <c:ser>
          <c:idx val="1"/>
          <c:order val="1"/>
          <c:tx>
            <c:v>2019</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Blad1!$N$5:$N$13</c:f>
              <c:strCache>
                <c:ptCount val="9"/>
                <c:pt idx="0">
                  <c:v>jan</c:v>
                </c:pt>
                <c:pt idx="1">
                  <c:v>mrt</c:v>
                </c:pt>
                <c:pt idx="2">
                  <c:v>apr</c:v>
                </c:pt>
                <c:pt idx="3">
                  <c:v>mei</c:v>
                </c:pt>
                <c:pt idx="4">
                  <c:v>jul</c:v>
                </c:pt>
                <c:pt idx="5">
                  <c:v>sep</c:v>
                </c:pt>
                <c:pt idx="6">
                  <c:v>okt</c:v>
                </c:pt>
                <c:pt idx="7">
                  <c:v>nov</c:v>
                </c:pt>
                <c:pt idx="8">
                  <c:v>dec</c:v>
                </c:pt>
              </c:strCache>
            </c:strRef>
          </c:cat>
          <c:val>
            <c:numRef>
              <c:f>Blad1!$L$5:$L$13</c:f>
              <c:numCache>
                <c:formatCode>General</c:formatCode>
                <c:ptCount val="9"/>
                <c:pt idx="0">
                  <c:v>1</c:v>
                </c:pt>
                <c:pt idx="1">
                  <c:v>0</c:v>
                </c:pt>
                <c:pt idx="2">
                  <c:v>0</c:v>
                </c:pt>
                <c:pt idx="3">
                  <c:v>1</c:v>
                </c:pt>
                <c:pt idx="4">
                  <c:v>0</c:v>
                </c:pt>
                <c:pt idx="5">
                  <c:v>0</c:v>
                </c:pt>
                <c:pt idx="6">
                  <c:v>2</c:v>
                </c:pt>
                <c:pt idx="7">
                  <c:v>0</c:v>
                </c:pt>
                <c:pt idx="8">
                  <c:v>0</c:v>
                </c:pt>
              </c:numCache>
            </c:numRef>
          </c:val>
          <c:smooth val="0"/>
          <c:extLst>
            <c:ext xmlns:c16="http://schemas.microsoft.com/office/drawing/2014/chart" uri="{C3380CC4-5D6E-409C-BE32-E72D297353CC}">
              <c16:uniqueId val="{00000001-AEDD-4309-86D3-BE8809251FEC}"/>
            </c:ext>
          </c:extLst>
        </c:ser>
        <c:dLbls>
          <c:dLblPos val="t"/>
          <c:showLegendKey val="0"/>
          <c:showVal val="1"/>
          <c:showCatName val="0"/>
          <c:showSerName val="0"/>
          <c:showPercent val="0"/>
          <c:showBubbleSize val="0"/>
        </c:dLbls>
        <c:smooth val="0"/>
        <c:axId val="413405336"/>
        <c:axId val="413405992"/>
      </c:lineChart>
      <c:catAx>
        <c:axId val="413405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3405992"/>
        <c:crosses val="autoZero"/>
        <c:auto val="1"/>
        <c:lblAlgn val="ctr"/>
        <c:lblOffset val="100"/>
        <c:noMultiLvlLbl val="0"/>
      </c:catAx>
      <c:valAx>
        <c:axId val="41340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340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b="1">
                <a:solidFill>
                  <a:sysClr val="windowText" lastClr="000000"/>
                </a:solidFill>
              </a:rPr>
              <a:t>Aantal adviezen</a:t>
            </a:r>
            <a:r>
              <a:rPr lang="nl-NL" sz="1200" b="1" baseline="0">
                <a:solidFill>
                  <a:sysClr val="windowText" lastClr="000000"/>
                </a:solidFill>
              </a:rPr>
              <a:t> ARO en ambtelijk sinds 2011</a:t>
            </a:r>
            <a:endParaRPr lang="nl-NL"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ARO-advies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Blad1!$N$18:$N$26</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Blad1!$M$18:$M$26</c:f>
              <c:numCache>
                <c:formatCode>General</c:formatCode>
                <c:ptCount val="9"/>
                <c:pt idx="0">
                  <c:v>50</c:v>
                </c:pt>
                <c:pt idx="1">
                  <c:v>62</c:v>
                </c:pt>
                <c:pt idx="2">
                  <c:v>42</c:v>
                </c:pt>
                <c:pt idx="3">
                  <c:v>26</c:v>
                </c:pt>
                <c:pt idx="4">
                  <c:v>34</c:v>
                </c:pt>
                <c:pt idx="5">
                  <c:v>35</c:v>
                </c:pt>
                <c:pt idx="6">
                  <c:v>13</c:v>
                </c:pt>
                <c:pt idx="7">
                  <c:v>16</c:v>
                </c:pt>
                <c:pt idx="8">
                  <c:v>4</c:v>
                </c:pt>
              </c:numCache>
            </c:numRef>
          </c:val>
          <c:extLst>
            <c:ext xmlns:c16="http://schemas.microsoft.com/office/drawing/2014/chart" uri="{C3380CC4-5D6E-409C-BE32-E72D297353CC}">
              <c16:uniqueId val="{00000000-C753-40A1-80FD-6ABFBDCC76E5}"/>
            </c:ext>
          </c:extLst>
        </c:ser>
        <c:ser>
          <c:idx val="1"/>
          <c:order val="1"/>
          <c:tx>
            <c:v>Ambtelijk advies</c:v>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Blad1!$N$18:$N$26</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Blad1!$L$18:$L$26</c:f>
              <c:numCache>
                <c:formatCode>General</c:formatCode>
                <c:ptCount val="9"/>
                <c:pt idx="3">
                  <c:v>33</c:v>
                </c:pt>
                <c:pt idx="4">
                  <c:v>96</c:v>
                </c:pt>
                <c:pt idx="5">
                  <c:v>95</c:v>
                </c:pt>
                <c:pt idx="6">
                  <c:v>70</c:v>
                </c:pt>
                <c:pt idx="7">
                  <c:v>44</c:v>
                </c:pt>
                <c:pt idx="8">
                  <c:v>34</c:v>
                </c:pt>
              </c:numCache>
            </c:numRef>
          </c:val>
          <c:extLst>
            <c:ext xmlns:c16="http://schemas.microsoft.com/office/drawing/2014/chart" uri="{C3380CC4-5D6E-409C-BE32-E72D297353CC}">
              <c16:uniqueId val="{00000001-C753-40A1-80FD-6ABFBDCC76E5}"/>
            </c:ext>
          </c:extLst>
        </c:ser>
        <c:dLbls>
          <c:dLblPos val="outEnd"/>
          <c:showLegendKey val="0"/>
          <c:showVal val="1"/>
          <c:showCatName val="0"/>
          <c:showSerName val="0"/>
          <c:showPercent val="0"/>
          <c:showBubbleSize val="0"/>
        </c:dLbls>
        <c:gapWidth val="219"/>
        <c:overlap val="-27"/>
        <c:axId val="407939784"/>
        <c:axId val="407938472"/>
      </c:barChart>
      <c:catAx>
        <c:axId val="40793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407938472"/>
        <c:crosses val="autoZero"/>
        <c:auto val="1"/>
        <c:lblAlgn val="ctr"/>
        <c:lblOffset val="100"/>
        <c:noMultiLvlLbl val="0"/>
      </c:catAx>
      <c:valAx>
        <c:axId val="407938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407939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Plannen naar</a:t>
            </a:r>
            <a:r>
              <a:rPr lang="en-US" sz="1200" b="1" baseline="0">
                <a:solidFill>
                  <a:sysClr val="windowText" lastClr="000000"/>
                </a:solidFill>
              </a:rPr>
              <a:t> onderwerp</a:t>
            </a:r>
            <a:endParaRPr lang="en-US" sz="1200" b="1">
              <a:solidFill>
                <a:sysClr val="windowText" lastClr="000000"/>
              </a:solidFill>
            </a:endParaRPr>
          </a:p>
        </c:rich>
      </c:tx>
      <c:layout>
        <c:manualLayout>
          <c:xMode val="edge"/>
          <c:yMode val="edge"/>
          <c:x val="0.28290427759896486"/>
          <c:y val="8.842774861475648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22844739142443848"/>
          <c:y val="0.20786583495244912"/>
          <c:w val="0.41078433644789075"/>
          <c:h val="0.7183876395615838"/>
        </c:manualLayout>
      </c:layout>
      <c:pieChart>
        <c:varyColors val="1"/>
        <c:ser>
          <c:idx val="0"/>
          <c:order val="0"/>
          <c:tx>
            <c:strRef>
              <c:f>Blad1!$B$5:$B$10</c:f>
              <c:strCache>
                <c:ptCount val="6"/>
                <c:pt idx="0">
                  <c:v>3</c:v>
                </c:pt>
                <c:pt idx="1">
                  <c:v>1</c:v>
                </c:pt>
              </c:strCache>
            </c:strRef>
          </c:tx>
          <c:explosion val="1"/>
          <c:dPt>
            <c:idx val="0"/>
            <c:bubble3D val="0"/>
            <c:spPr>
              <a:solidFill>
                <a:srgbClr val="BC3FBF"/>
              </a:solidFill>
              <a:ln w="19050">
                <a:solidFill>
                  <a:schemeClr val="lt1"/>
                </a:solidFill>
              </a:ln>
              <a:effectLst/>
            </c:spPr>
            <c:extLst>
              <c:ext xmlns:c16="http://schemas.microsoft.com/office/drawing/2014/chart" uri="{C3380CC4-5D6E-409C-BE32-E72D297353CC}">
                <c16:uniqueId val="{00000001-B3F0-4A9A-B9FD-9C6B6C00AAA5}"/>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B3F0-4A9A-B9FD-9C6B6C00AAA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Blad1!$C$5:$C$10</c:f>
              <c:strCache>
                <c:ptCount val="2"/>
                <c:pt idx="0">
                  <c:v>woningbouw</c:v>
                </c:pt>
                <c:pt idx="1">
                  <c:v>energie</c:v>
                </c:pt>
              </c:strCache>
            </c:strRef>
          </c:cat>
          <c:val>
            <c:numRef>
              <c:f>Blad1!$B$5:$B$10</c:f>
              <c:numCache>
                <c:formatCode>General</c:formatCode>
                <c:ptCount val="2"/>
                <c:pt idx="0">
                  <c:v>3</c:v>
                </c:pt>
                <c:pt idx="1">
                  <c:v>1</c:v>
                </c:pt>
              </c:numCache>
            </c:numRef>
          </c:val>
          <c:extLst>
            <c:ext xmlns:c16="http://schemas.microsoft.com/office/drawing/2014/chart" uri="{C3380CC4-5D6E-409C-BE32-E72D297353CC}">
              <c16:uniqueId val="{00000004-B3F0-4A9A-B9FD-9C6B6C00AAA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9871112830425441"/>
          <c:y val="0.32440215806357536"/>
          <c:w val="0.19581592580523516"/>
          <c:h val="0.2048622047244094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nl-NL" sz="1200" b="1">
                <a:solidFill>
                  <a:sysClr val="windowText" lastClr="000000"/>
                </a:solidFill>
              </a:rPr>
              <a:t>Plannen</a:t>
            </a:r>
            <a:r>
              <a:rPr lang="nl-NL" sz="1200" b="1" baseline="0">
                <a:solidFill>
                  <a:sysClr val="windowText" lastClr="000000"/>
                </a:solidFill>
              </a:rPr>
              <a:t> naar ensemble (Leidraad)</a:t>
            </a:r>
            <a:endParaRPr lang="nl-NL" sz="1200" b="1">
              <a:solidFill>
                <a:sysClr val="windowText" lastClr="000000"/>
              </a:solidFill>
            </a:endParaRPr>
          </a:p>
        </c:rich>
      </c:tx>
      <c:layout>
        <c:manualLayout>
          <c:xMode val="edge"/>
          <c:yMode val="edge"/>
          <c:x val="0.26090266841644794"/>
          <c:y val="5.678523976325643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4940803533923461"/>
          <c:y val="0.17943873320016704"/>
          <c:w val="0.43918585271836719"/>
          <c:h val="0.71623453248585089"/>
        </c:manualLayout>
      </c:layout>
      <c:pieChart>
        <c:varyColors val="1"/>
        <c:ser>
          <c:idx val="0"/>
          <c:order val="0"/>
          <c:tx>
            <c:strRef>
              <c:f>Blad1!$H$5:$H$14</c:f>
              <c:strCache>
                <c:ptCount val="10"/>
                <c:pt idx="0">
                  <c:v>3</c:v>
                </c:pt>
                <c:pt idx="1">
                  <c:v>2</c:v>
                </c:pt>
                <c:pt idx="2">
                  <c:v>2</c:v>
                </c:pt>
                <c:pt idx="3">
                  <c:v>2</c:v>
                </c:pt>
                <c:pt idx="4">
                  <c:v>2</c:v>
                </c:pt>
                <c:pt idx="5">
                  <c:v>1</c:v>
                </c:pt>
                <c:pt idx="6">
                  <c:v>1</c:v>
                </c:pt>
                <c:pt idx="7">
                  <c:v>1</c:v>
                </c:pt>
                <c:pt idx="8">
                  <c:v>1</c:v>
                </c:pt>
                <c:pt idx="9">
                  <c:v>1</c:v>
                </c:pt>
              </c:strCache>
            </c:strRef>
          </c:tx>
          <c:dPt>
            <c:idx val="0"/>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1-E71B-4A5B-AEA7-5139E4F95E59}"/>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E71B-4A5B-AEA7-5139E4F95E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1B-4A5B-AEA7-5139E4F95E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Blad1!$I$5:$I$14</c:f>
              <c:strCache>
                <c:ptCount val="3"/>
                <c:pt idx="0">
                  <c:v>West-Friesland West</c:v>
                </c:pt>
                <c:pt idx="1">
                  <c:v>Vechtstreek</c:v>
                </c:pt>
                <c:pt idx="2">
                  <c:v>Koegras-Anna Paulowna</c:v>
                </c:pt>
              </c:strCache>
            </c:strRef>
          </c:cat>
          <c:val>
            <c:numRef>
              <c:f>Blad1!$H$5:$H$14</c:f>
              <c:numCache>
                <c:formatCode>General</c:formatCode>
                <c:ptCount val="3"/>
                <c:pt idx="0">
                  <c:v>2</c:v>
                </c:pt>
                <c:pt idx="1">
                  <c:v>1</c:v>
                </c:pt>
                <c:pt idx="2">
                  <c:v>1</c:v>
                </c:pt>
              </c:numCache>
            </c:numRef>
          </c:val>
          <c:extLst>
            <c:ext xmlns:c16="http://schemas.microsoft.com/office/drawing/2014/chart" uri="{C3380CC4-5D6E-409C-BE32-E72D297353CC}">
              <c16:uniqueId val="{00000006-E71B-4A5B-AEA7-5139E4F95E5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0242768497551424"/>
          <c:y val="0.31819065204343161"/>
          <c:w val="0.39505943348896377"/>
          <c:h val="0.4752379970443688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b="1">
                <a:solidFill>
                  <a:schemeClr val="tx1"/>
                </a:solidFill>
              </a:rPr>
              <a:t>Aantal</a:t>
            </a:r>
            <a:r>
              <a:rPr lang="nl-NL" sz="1200" b="1" baseline="0">
                <a:solidFill>
                  <a:schemeClr val="tx1"/>
                </a:solidFill>
              </a:rPr>
              <a:t> plannen per gemeente</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Aantal plannen per gemeente</c:v>
          </c:tx>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1-18EB-43D7-A2CE-204F9B8FC613}"/>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18EB-43D7-A2CE-204F9B8FC613}"/>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18EB-43D7-A2CE-204F9B8FC613}"/>
              </c:ext>
            </c:extLst>
          </c:dPt>
          <c:cat>
            <c:strRef>
              <c:f>Blad1!$E$5:$E$18</c:f>
              <c:strCache>
                <c:ptCount val="3"/>
                <c:pt idx="0">
                  <c:v>Schagen</c:v>
                </c:pt>
                <c:pt idx="1">
                  <c:v>Hollandsch Kroon</c:v>
                </c:pt>
                <c:pt idx="2">
                  <c:v>Amsterdam</c:v>
                </c:pt>
              </c:strCache>
            </c:strRef>
          </c:cat>
          <c:val>
            <c:numRef>
              <c:f>Blad1!$D$5:$D$18</c:f>
              <c:numCache>
                <c:formatCode>General</c:formatCode>
                <c:ptCount val="3"/>
                <c:pt idx="0">
                  <c:v>2</c:v>
                </c:pt>
                <c:pt idx="1">
                  <c:v>1</c:v>
                </c:pt>
                <c:pt idx="2">
                  <c:v>1</c:v>
                </c:pt>
              </c:numCache>
            </c:numRef>
          </c:val>
          <c:extLst>
            <c:ext xmlns:c16="http://schemas.microsoft.com/office/drawing/2014/chart" uri="{C3380CC4-5D6E-409C-BE32-E72D297353CC}">
              <c16:uniqueId val="{00000006-18EB-43D7-A2CE-204F9B8FC613}"/>
            </c:ext>
          </c:extLst>
        </c:ser>
        <c:ser>
          <c:idx val="1"/>
          <c:order val="1"/>
          <c:spPr>
            <a:solidFill>
              <a:schemeClr val="accent2"/>
            </a:solidFill>
            <a:ln>
              <a:noFill/>
            </a:ln>
            <a:effectLst/>
          </c:spPr>
          <c:invertIfNegative val="0"/>
          <c:cat>
            <c:strRef>
              <c:f>Blad1!$E$5:$E$18</c:f>
              <c:strCache>
                <c:ptCount val="11"/>
                <c:pt idx="0">
                  <c:v>Schagen</c:v>
                </c:pt>
                <c:pt idx="1">
                  <c:v>Hollandsch Kroon</c:v>
                </c:pt>
                <c:pt idx="2">
                  <c:v>Amsterdam</c:v>
                </c:pt>
                <c:pt idx="3">
                  <c:v>Velsen</c:v>
                </c:pt>
                <c:pt idx="4">
                  <c:v>Castricum</c:v>
                </c:pt>
                <c:pt idx="5">
                  <c:v>Bergen</c:v>
                </c:pt>
                <c:pt idx="6">
                  <c:v>Beemster</c:v>
                </c:pt>
                <c:pt idx="7">
                  <c:v>Koggenland</c:v>
                </c:pt>
                <c:pt idx="8">
                  <c:v>Drechteland</c:v>
                </c:pt>
                <c:pt idx="9">
                  <c:v>Medemblik</c:v>
                </c:pt>
                <c:pt idx="10">
                  <c:v>Den Helder</c:v>
                </c:pt>
              </c:strCache>
            </c:strRef>
          </c:cat>
          <c:val>
            <c:numRef>
              <c:f>Blad1!$G$5:$G$10</c:f>
              <c:numCache>
                <c:formatCode>General</c:formatCode>
                <c:ptCount val="3"/>
                <c:pt idx="0">
                  <c:v>0</c:v>
                </c:pt>
                <c:pt idx="1">
                  <c:v>0</c:v>
                </c:pt>
                <c:pt idx="2">
                  <c:v>0</c:v>
                </c:pt>
              </c:numCache>
            </c:numRef>
          </c:val>
          <c:extLst>
            <c:ext xmlns:c16="http://schemas.microsoft.com/office/drawing/2014/chart" uri="{C3380CC4-5D6E-409C-BE32-E72D297353CC}">
              <c16:uniqueId val="{00000007-18EB-43D7-A2CE-204F9B8FC613}"/>
            </c:ext>
          </c:extLst>
        </c:ser>
        <c:dLbls>
          <c:showLegendKey val="0"/>
          <c:showVal val="0"/>
          <c:showCatName val="0"/>
          <c:showSerName val="0"/>
          <c:showPercent val="0"/>
          <c:showBubbleSize val="0"/>
        </c:dLbls>
        <c:gapWidth val="219"/>
        <c:overlap val="-27"/>
        <c:axId val="654368504"/>
        <c:axId val="654373424"/>
        <c:extLst>
          <c:ext xmlns:c15="http://schemas.microsoft.com/office/drawing/2012/chart" uri="{02D57815-91ED-43cb-92C2-25804820EDAC}">
            <c15:filteredBarSeries>
              <c15:ser>
                <c:idx val="2"/>
                <c:order val="2"/>
                <c:tx>
                  <c:v>regio's</c:v>
                </c:tx>
                <c:spPr>
                  <a:solidFill>
                    <a:schemeClr val="accent3"/>
                  </a:solidFill>
                  <a:ln>
                    <a:noFill/>
                  </a:ln>
                  <a:effectLst/>
                </c:spPr>
                <c:invertIfNegative val="0"/>
                <c:cat>
                  <c:strRef>
                    <c:extLst>
                      <c:ext uri="{02D57815-91ED-43cb-92C2-25804820EDAC}">
                        <c15:formulaRef>
                          <c15:sqref>Blad1!$E$5:$E$18</c15:sqref>
                        </c15:formulaRef>
                      </c:ext>
                    </c:extLst>
                    <c:strCache>
                      <c:ptCount val="11"/>
                      <c:pt idx="0">
                        <c:v>Schagen</c:v>
                      </c:pt>
                      <c:pt idx="1">
                        <c:v>Hollandsch Kroon</c:v>
                      </c:pt>
                      <c:pt idx="2">
                        <c:v>Amsterdam</c:v>
                      </c:pt>
                      <c:pt idx="3">
                        <c:v>Velsen</c:v>
                      </c:pt>
                      <c:pt idx="4">
                        <c:v>Castricum</c:v>
                      </c:pt>
                      <c:pt idx="5">
                        <c:v>Bergen</c:v>
                      </c:pt>
                      <c:pt idx="6">
                        <c:v>Beemster</c:v>
                      </c:pt>
                      <c:pt idx="7">
                        <c:v>Koggenland</c:v>
                      </c:pt>
                      <c:pt idx="8">
                        <c:v>Drechteland</c:v>
                      </c:pt>
                      <c:pt idx="9">
                        <c:v>Medemblik</c:v>
                      </c:pt>
                      <c:pt idx="10">
                        <c:v>Den Helder</c:v>
                      </c:pt>
                    </c:strCache>
                  </c:strRef>
                </c:cat>
                <c:val>
                  <c:numRef>
                    <c:extLst>
                      <c:ext uri="{02D57815-91ED-43cb-92C2-25804820EDAC}">
                        <c15:formulaRef>
                          <c15:sqref>Blad1!$G$5:$G$10</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8-18EB-43D7-A2CE-204F9B8FC613}"/>
                  </c:ext>
                </c:extLst>
              </c15:ser>
            </c15:filteredBarSeries>
          </c:ext>
        </c:extLst>
      </c:barChart>
      <c:catAx>
        <c:axId val="6543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654373424"/>
        <c:crosses val="autoZero"/>
        <c:auto val="1"/>
        <c:lblAlgn val="ctr"/>
        <c:lblOffset val="100"/>
        <c:noMultiLvlLbl val="0"/>
      </c:catAx>
      <c:valAx>
        <c:axId val="654373424"/>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54368504"/>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44C2-BD97-4AF2-8D5A-8542B233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81D7CD23</Template>
  <TotalTime>29</TotalTime>
  <Pages>1</Pages>
  <Words>874</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Witteman</dc:creator>
  <cp:lastModifiedBy>Hans van Helden</cp:lastModifiedBy>
  <cp:revision>7</cp:revision>
  <cp:lastPrinted>2017-05-16T13:04:00Z</cp:lastPrinted>
  <dcterms:created xsi:type="dcterms:W3CDTF">2020-05-10T15:45:00Z</dcterms:created>
  <dcterms:modified xsi:type="dcterms:W3CDTF">2020-06-10T06:43:00Z</dcterms:modified>
</cp:coreProperties>
</file>